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220" w:type="dxa"/>
        <w:tblInd w:w="-635" w:type="dxa"/>
        <w:tblLook w:val="04A0" w:firstRow="1" w:lastRow="0" w:firstColumn="1" w:lastColumn="0" w:noHBand="0" w:noVBand="1"/>
      </w:tblPr>
      <w:tblGrid>
        <w:gridCol w:w="1800"/>
        <w:gridCol w:w="4230"/>
        <w:gridCol w:w="4590"/>
        <w:gridCol w:w="3600"/>
      </w:tblGrid>
      <w:tr w:rsidR="00216CFC" w14:paraId="6C5C4576" w14:textId="77777777" w:rsidTr="00AD1145">
        <w:tc>
          <w:tcPr>
            <w:tcW w:w="1800" w:type="dxa"/>
          </w:tcPr>
          <w:p w14:paraId="0EDA17B6" w14:textId="77777777" w:rsidR="00216CFC" w:rsidRPr="00216CFC" w:rsidRDefault="00216CFC">
            <w:pPr>
              <w:rPr>
                <w:b/>
                <w:bCs/>
              </w:rPr>
            </w:pPr>
            <w:r w:rsidRPr="00216CFC">
              <w:rPr>
                <w:b/>
                <w:bCs/>
              </w:rPr>
              <w:t>ISSUE</w:t>
            </w:r>
          </w:p>
        </w:tc>
        <w:tc>
          <w:tcPr>
            <w:tcW w:w="4230" w:type="dxa"/>
          </w:tcPr>
          <w:p w14:paraId="5FCC6766" w14:textId="77777777" w:rsidR="00216CFC" w:rsidRPr="00216CFC" w:rsidRDefault="00216CFC">
            <w:pPr>
              <w:rPr>
                <w:b/>
                <w:bCs/>
              </w:rPr>
            </w:pPr>
            <w:r w:rsidRPr="00216CFC">
              <w:rPr>
                <w:b/>
                <w:bCs/>
              </w:rPr>
              <w:t>PROBLEM</w:t>
            </w:r>
          </w:p>
        </w:tc>
        <w:tc>
          <w:tcPr>
            <w:tcW w:w="4590" w:type="dxa"/>
          </w:tcPr>
          <w:p w14:paraId="3FA79C6E" w14:textId="77777777" w:rsidR="00216CFC" w:rsidRPr="00216CFC" w:rsidRDefault="00216CFC">
            <w:pPr>
              <w:rPr>
                <w:b/>
                <w:bCs/>
              </w:rPr>
            </w:pPr>
            <w:r w:rsidRPr="00216CFC">
              <w:rPr>
                <w:b/>
                <w:bCs/>
              </w:rPr>
              <w:t>PROPOSED CODE CHANGE</w:t>
            </w:r>
          </w:p>
        </w:tc>
        <w:tc>
          <w:tcPr>
            <w:tcW w:w="3600" w:type="dxa"/>
          </w:tcPr>
          <w:p w14:paraId="1C2902C7" w14:textId="77777777" w:rsidR="00216CFC" w:rsidRPr="00216CFC" w:rsidRDefault="00216CFC">
            <w:pPr>
              <w:rPr>
                <w:b/>
                <w:bCs/>
              </w:rPr>
            </w:pPr>
            <w:r w:rsidRPr="00216CFC">
              <w:rPr>
                <w:b/>
                <w:bCs/>
              </w:rPr>
              <w:t>STATUS 2021</w:t>
            </w:r>
          </w:p>
        </w:tc>
      </w:tr>
      <w:tr w:rsidR="00216CFC" w:rsidRPr="00AD1145" w14:paraId="0EAAB730" w14:textId="77777777" w:rsidTr="00AD1145">
        <w:tc>
          <w:tcPr>
            <w:tcW w:w="1800" w:type="dxa"/>
          </w:tcPr>
          <w:p w14:paraId="2AE1B069" w14:textId="77777777" w:rsidR="00216CFC" w:rsidRPr="00AD1145" w:rsidRDefault="00216CFC" w:rsidP="00216CFC">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1584"/>
            </w:tblGrid>
            <w:tr w:rsidR="00216CFC" w:rsidRPr="00AD1145" w14:paraId="4BD8F199" w14:textId="77777777">
              <w:trPr>
                <w:trHeight w:val="244"/>
              </w:trPr>
              <w:tc>
                <w:tcPr>
                  <w:tcW w:w="0" w:type="auto"/>
                </w:tcPr>
                <w:p w14:paraId="2F397F64" w14:textId="77777777" w:rsidR="00216CFC" w:rsidRPr="00AD1145" w:rsidRDefault="00216CFC" w:rsidP="00216CFC">
                  <w:pPr>
                    <w:pStyle w:val="Default"/>
                    <w:rPr>
                      <w:sz w:val="20"/>
                      <w:szCs w:val="20"/>
                    </w:rPr>
                  </w:pPr>
                  <w:r w:rsidRPr="00AD1145">
                    <w:rPr>
                      <w:sz w:val="20"/>
                      <w:szCs w:val="20"/>
                    </w:rPr>
                    <w:t xml:space="preserve">50% Rule CDP Exemption </w:t>
                  </w:r>
                </w:p>
              </w:tc>
            </w:tr>
          </w:tbl>
          <w:p w14:paraId="5CB9655A" w14:textId="77777777" w:rsidR="00216CFC" w:rsidRPr="00AD1145" w:rsidRDefault="00216CFC">
            <w:pPr>
              <w:rPr>
                <w:sz w:val="20"/>
                <w:szCs w:val="20"/>
              </w:rPr>
            </w:pPr>
          </w:p>
        </w:tc>
        <w:tc>
          <w:tcPr>
            <w:tcW w:w="4230" w:type="dxa"/>
          </w:tcPr>
          <w:p w14:paraId="4F7227AE" w14:textId="77777777" w:rsidR="00216CFC" w:rsidRPr="00AD1145" w:rsidRDefault="00216CFC" w:rsidP="00216CFC">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014"/>
            </w:tblGrid>
            <w:tr w:rsidR="00216CFC" w:rsidRPr="00AD1145" w14:paraId="7E230F88" w14:textId="77777777">
              <w:trPr>
                <w:trHeight w:val="914"/>
              </w:trPr>
              <w:tc>
                <w:tcPr>
                  <w:tcW w:w="0" w:type="auto"/>
                </w:tcPr>
                <w:p w14:paraId="69690CF5" w14:textId="77777777" w:rsidR="00216CFC" w:rsidRPr="00AD1145" w:rsidRDefault="00216CFC" w:rsidP="00216CFC">
                  <w:pPr>
                    <w:pStyle w:val="Default"/>
                    <w:rPr>
                      <w:sz w:val="20"/>
                      <w:szCs w:val="20"/>
                    </w:rPr>
                  </w:pPr>
                  <w:r w:rsidRPr="00AD1145">
                    <w:rPr>
                      <w:sz w:val="20"/>
                      <w:szCs w:val="20"/>
                    </w:rPr>
                    <w:t xml:space="preserve"> The current rule seeks to exempt modest remodeling from CDP requirements. Instead, it permits massive expansion of small buildings, promotes awkward designs, and inhibits certain kinds of reasonable remodeling such as replacement of solid walls with windows </w:t>
                  </w:r>
                </w:p>
              </w:tc>
            </w:tr>
          </w:tbl>
          <w:p w14:paraId="2217D044" w14:textId="77777777" w:rsidR="00216CFC" w:rsidRPr="00AD1145" w:rsidRDefault="00216CFC">
            <w:pPr>
              <w:rPr>
                <w:sz w:val="20"/>
                <w:szCs w:val="20"/>
              </w:rPr>
            </w:pPr>
          </w:p>
        </w:tc>
        <w:tc>
          <w:tcPr>
            <w:tcW w:w="4590" w:type="dxa"/>
          </w:tcPr>
          <w:p w14:paraId="069D7DEC" w14:textId="77777777" w:rsidR="00216CFC" w:rsidRPr="00AD1145" w:rsidRDefault="00216CFC" w:rsidP="00216CFC">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374"/>
            </w:tblGrid>
            <w:tr w:rsidR="00216CFC" w:rsidRPr="00AD1145" w14:paraId="5A4E80C7" w14:textId="77777777">
              <w:trPr>
                <w:trHeight w:val="512"/>
              </w:trPr>
              <w:tc>
                <w:tcPr>
                  <w:tcW w:w="0" w:type="auto"/>
                </w:tcPr>
                <w:p w14:paraId="62F48992" w14:textId="77777777" w:rsidR="00216CFC" w:rsidRPr="00AD1145" w:rsidRDefault="00216CFC" w:rsidP="00216CFC">
                  <w:pPr>
                    <w:pStyle w:val="Default"/>
                    <w:rPr>
                      <w:sz w:val="20"/>
                      <w:szCs w:val="20"/>
                    </w:rPr>
                  </w:pPr>
                  <w:r w:rsidRPr="00AD1145">
                    <w:rPr>
                      <w:sz w:val="20"/>
                      <w:szCs w:val="20"/>
                    </w:rPr>
                    <w:t xml:space="preserve"> Limit 50%-rule CDP exemptions to projects that (a) increase existing GFA by no more than 50%, (b) whose result is a building using not more than 50% of allowable FAR, and (c) do not involve a property that has used the 50%-rule exemption within the past 12 months. </w:t>
                  </w:r>
                </w:p>
              </w:tc>
            </w:tr>
          </w:tbl>
          <w:p w14:paraId="10AF2ADD" w14:textId="77777777" w:rsidR="00216CFC" w:rsidRPr="00AD1145" w:rsidRDefault="00216CFC">
            <w:pPr>
              <w:rPr>
                <w:sz w:val="20"/>
                <w:szCs w:val="20"/>
              </w:rPr>
            </w:pPr>
          </w:p>
        </w:tc>
        <w:tc>
          <w:tcPr>
            <w:tcW w:w="3600" w:type="dxa"/>
          </w:tcPr>
          <w:p w14:paraId="2B0C0839" w14:textId="77777777" w:rsidR="00AD1145" w:rsidRDefault="00DF5AC6">
            <w:pPr>
              <w:rPr>
                <w:color w:val="FF0000"/>
                <w:sz w:val="20"/>
                <w:szCs w:val="20"/>
              </w:rPr>
            </w:pPr>
            <w:r w:rsidRPr="00DF5AC6">
              <w:rPr>
                <w:color w:val="4472C4" w:themeColor="accent1"/>
                <w:sz w:val="20"/>
                <w:szCs w:val="20"/>
              </w:rPr>
              <w:t xml:space="preserve">Submitted, 2020. </w:t>
            </w:r>
            <w:r w:rsidR="00AD1145">
              <w:rPr>
                <w:color w:val="FF0000"/>
                <w:sz w:val="20"/>
                <w:szCs w:val="20"/>
              </w:rPr>
              <w:t>Resubmit</w:t>
            </w:r>
            <w:r w:rsidR="00C52FA4">
              <w:rPr>
                <w:color w:val="FF0000"/>
                <w:sz w:val="20"/>
                <w:szCs w:val="20"/>
              </w:rPr>
              <w:t>ted 2021</w:t>
            </w:r>
          </w:p>
          <w:p w14:paraId="07A4456E" w14:textId="77777777" w:rsidR="00DF5AC6" w:rsidRDefault="00DF5AC6">
            <w:pPr>
              <w:rPr>
                <w:color w:val="FF0000"/>
                <w:sz w:val="20"/>
                <w:szCs w:val="20"/>
              </w:rPr>
            </w:pPr>
            <w:r>
              <w:rPr>
                <w:color w:val="FF0000"/>
                <w:sz w:val="20"/>
                <w:szCs w:val="20"/>
              </w:rPr>
              <w:t>No Action taken on part of city.</w:t>
            </w:r>
          </w:p>
          <w:p w14:paraId="440854D1" w14:textId="77777777" w:rsidR="00C52FA4" w:rsidRPr="00AD1145" w:rsidRDefault="00C52FA4">
            <w:pPr>
              <w:rPr>
                <w:color w:val="FF0000"/>
                <w:sz w:val="20"/>
                <w:szCs w:val="20"/>
              </w:rPr>
            </w:pPr>
          </w:p>
        </w:tc>
      </w:tr>
      <w:tr w:rsidR="00216CFC" w:rsidRPr="00AD1145" w14:paraId="464B8AD5" w14:textId="77777777" w:rsidTr="00AD1145">
        <w:tc>
          <w:tcPr>
            <w:tcW w:w="1800" w:type="dxa"/>
          </w:tcPr>
          <w:p w14:paraId="055C6459" w14:textId="77777777" w:rsidR="00216CFC" w:rsidRPr="00AD1145" w:rsidRDefault="00216CFC">
            <w:pPr>
              <w:rPr>
                <w:sz w:val="20"/>
                <w:szCs w:val="20"/>
              </w:rPr>
            </w:pPr>
            <w:r w:rsidRPr="00AD1145">
              <w:rPr>
                <w:sz w:val="20"/>
                <w:szCs w:val="20"/>
              </w:rPr>
              <w:t>Basements</w:t>
            </w:r>
          </w:p>
        </w:tc>
        <w:tc>
          <w:tcPr>
            <w:tcW w:w="4230" w:type="dxa"/>
          </w:tcPr>
          <w:p w14:paraId="44825D35" w14:textId="77777777" w:rsidR="00216CFC" w:rsidRPr="00AD1145" w:rsidRDefault="00216CFC" w:rsidP="00216CFC">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014"/>
            </w:tblGrid>
            <w:tr w:rsidR="00216CFC" w:rsidRPr="00AD1145" w14:paraId="75AFB846" w14:textId="77777777">
              <w:trPr>
                <w:trHeight w:val="782"/>
              </w:trPr>
              <w:tc>
                <w:tcPr>
                  <w:tcW w:w="0" w:type="auto"/>
                </w:tcPr>
                <w:p w14:paraId="583EA0E8" w14:textId="77777777" w:rsidR="00216CFC" w:rsidRPr="00AD1145" w:rsidRDefault="00216CFC" w:rsidP="00216CFC">
                  <w:pPr>
                    <w:pStyle w:val="Default"/>
                    <w:rPr>
                      <w:sz w:val="20"/>
                      <w:szCs w:val="20"/>
                    </w:rPr>
                  </w:pPr>
                  <w:r w:rsidRPr="00AD1145">
                    <w:rPr>
                      <w:sz w:val="20"/>
                      <w:szCs w:val="20"/>
                    </w:rPr>
                    <w:t xml:space="preserve"> Basements add considerable density to the community while currently being exempt from FAR. Moreover, especially in hilly areas basements can create or exacerbate geological problems stemming from water flows, seismic faults, and the like. </w:t>
                  </w:r>
                </w:p>
              </w:tc>
            </w:tr>
          </w:tbl>
          <w:p w14:paraId="713D4705" w14:textId="77777777" w:rsidR="00216CFC" w:rsidRPr="00AD1145" w:rsidRDefault="00216CFC">
            <w:pPr>
              <w:rPr>
                <w:sz w:val="20"/>
                <w:szCs w:val="20"/>
              </w:rPr>
            </w:pPr>
          </w:p>
        </w:tc>
        <w:tc>
          <w:tcPr>
            <w:tcW w:w="4590" w:type="dxa"/>
          </w:tcPr>
          <w:p w14:paraId="56DA72BE" w14:textId="77777777" w:rsidR="00216CFC" w:rsidRPr="00AD1145" w:rsidRDefault="00216CFC" w:rsidP="00216CFC">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4374"/>
            </w:tblGrid>
            <w:tr w:rsidR="00216CFC" w:rsidRPr="00AD1145" w14:paraId="20AE4019" w14:textId="77777777">
              <w:trPr>
                <w:trHeight w:val="1050"/>
              </w:trPr>
              <w:tc>
                <w:tcPr>
                  <w:tcW w:w="0" w:type="auto"/>
                </w:tcPr>
                <w:p w14:paraId="1570BA78" w14:textId="77777777" w:rsidR="00216CFC" w:rsidRPr="00AD1145" w:rsidRDefault="00216CFC" w:rsidP="00216CFC">
                  <w:pPr>
                    <w:pStyle w:val="Default"/>
                    <w:rPr>
                      <w:sz w:val="20"/>
                      <w:szCs w:val="20"/>
                    </w:rPr>
                  </w:pPr>
                  <w:r w:rsidRPr="00AD1145">
                    <w:rPr>
                      <w:sz w:val="20"/>
                      <w:szCs w:val="20"/>
                    </w:rPr>
                    <w:t xml:space="preserve"> The GFA of all basements (as defined by the current height above grade limitations) should count towards FAR at a 50% discount. This provides some benefit to the developer to be able to increase overall project size by going underground, but also provides benefit to the community by partially reducing the size of development above ground. Furthermore, due to the high seismic sensitivity throughout San Diego we believe all projects with basements should provide a geotechnical study prior to requesting a CDP. </w:t>
                  </w:r>
                </w:p>
              </w:tc>
            </w:tr>
          </w:tbl>
          <w:p w14:paraId="57DDC2E4" w14:textId="77777777" w:rsidR="00216CFC" w:rsidRPr="00AD1145" w:rsidRDefault="00216CFC">
            <w:pPr>
              <w:rPr>
                <w:sz w:val="20"/>
                <w:szCs w:val="20"/>
              </w:rPr>
            </w:pPr>
          </w:p>
        </w:tc>
        <w:tc>
          <w:tcPr>
            <w:tcW w:w="3600" w:type="dxa"/>
          </w:tcPr>
          <w:p w14:paraId="718A8D6D" w14:textId="77777777" w:rsidR="00AD1145" w:rsidRPr="00DF5AC6" w:rsidRDefault="00DF5AC6">
            <w:pPr>
              <w:rPr>
                <w:color w:val="FF0000"/>
                <w:sz w:val="20"/>
                <w:szCs w:val="20"/>
              </w:rPr>
            </w:pPr>
            <w:r w:rsidRPr="00DF5AC6">
              <w:rPr>
                <w:color w:val="4472C4" w:themeColor="accent1"/>
                <w:sz w:val="20"/>
                <w:szCs w:val="20"/>
              </w:rPr>
              <w:t xml:space="preserve">Submitted 2020. </w:t>
            </w:r>
            <w:r w:rsidR="00AD1145" w:rsidRPr="00DF5AC6">
              <w:rPr>
                <w:color w:val="FF0000"/>
                <w:sz w:val="20"/>
                <w:szCs w:val="20"/>
              </w:rPr>
              <w:t>Resubmit</w:t>
            </w:r>
            <w:r w:rsidR="00C52FA4" w:rsidRPr="00DF5AC6">
              <w:rPr>
                <w:color w:val="FF0000"/>
                <w:sz w:val="20"/>
                <w:szCs w:val="20"/>
              </w:rPr>
              <w:t>ted</w:t>
            </w:r>
            <w:r w:rsidR="00AD1145" w:rsidRPr="00DF5AC6">
              <w:rPr>
                <w:color w:val="FF0000"/>
                <w:sz w:val="20"/>
                <w:szCs w:val="20"/>
              </w:rPr>
              <w:t xml:space="preserve"> in 2021</w:t>
            </w:r>
          </w:p>
          <w:p w14:paraId="6B607E50" w14:textId="77777777" w:rsidR="00C52FA4" w:rsidRPr="00DF5AC6" w:rsidRDefault="00C52FA4">
            <w:pPr>
              <w:rPr>
                <w:color w:val="FF0000"/>
                <w:sz w:val="20"/>
                <w:szCs w:val="20"/>
              </w:rPr>
            </w:pPr>
            <w:r w:rsidRPr="00DF5AC6">
              <w:rPr>
                <w:color w:val="FF0000"/>
                <w:sz w:val="20"/>
                <w:szCs w:val="20"/>
              </w:rPr>
              <w:t>Brian Will</w:t>
            </w:r>
            <w:r w:rsidR="00DF5AC6">
              <w:rPr>
                <w:color w:val="FF0000"/>
                <w:sz w:val="20"/>
                <w:szCs w:val="20"/>
              </w:rPr>
              <w:t>, DPR.</w:t>
            </w:r>
          </w:p>
          <w:p w14:paraId="6FDABCAB" w14:textId="77777777" w:rsidR="00DF5AC6" w:rsidRPr="00DF5AC6" w:rsidRDefault="00DF5AC6">
            <w:pPr>
              <w:rPr>
                <w:color w:val="FF0000"/>
                <w:sz w:val="20"/>
                <w:szCs w:val="20"/>
              </w:rPr>
            </w:pPr>
            <w:r w:rsidRPr="00DF5AC6">
              <w:rPr>
                <w:color w:val="FF0000"/>
                <w:sz w:val="20"/>
                <w:szCs w:val="20"/>
              </w:rPr>
              <w:t>No action taken on part of city.</w:t>
            </w:r>
          </w:p>
          <w:p w14:paraId="3584E4D5" w14:textId="77777777" w:rsidR="00DF5AC6" w:rsidRPr="00DF5AC6" w:rsidRDefault="00DF5AC6">
            <w:pPr>
              <w:rPr>
                <w:color w:val="FF0000"/>
                <w:sz w:val="20"/>
                <w:szCs w:val="20"/>
              </w:rPr>
            </w:pPr>
          </w:p>
        </w:tc>
      </w:tr>
      <w:tr w:rsidR="00216CFC" w:rsidRPr="00AD1145" w14:paraId="7D28AA25" w14:textId="77777777" w:rsidTr="00AD1145">
        <w:tc>
          <w:tcPr>
            <w:tcW w:w="1800" w:type="dxa"/>
          </w:tcPr>
          <w:p w14:paraId="5B19E3D8" w14:textId="77777777" w:rsidR="00216CFC" w:rsidRPr="00AD1145" w:rsidRDefault="00216CFC">
            <w:pPr>
              <w:rPr>
                <w:sz w:val="20"/>
                <w:szCs w:val="20"/>
              </w:rPr>
            </w:pPr>
            <w:r w:rsidRPr="00AD1145">
              <w:rPr>
                <w:sz w:val="20"/>
                <w:szCs w:val="20"/>
              </w:rPr>
              <w:t>Beachfront Lot FAR</w:t>
            </w:r>
          </w:p>
        </w:tc>
        <w:tc>
          <w:tcPr>
            <w:tcW w:w="4230" w:type="dxa"/>
          </w:tcPr>
          <w:p w14:paraId="0B46C6D7" w14:textId="77777777" w:rsidR="00216CFC" w:rsidRPr="00AD1145" w:rsidRDefault="00216CFC" w:rsidP="00216CFC">
            <w:pPr>
              <w:pStyle w:val="Default"/>
              <w:rPr>
                <w:sz w:val="20"/>
                <w:szCs w:val="20"/>
              </w:rPr>
            </w:pPr>
            <w:r w:rsidRPr="00AD1145">
              <w:rPr>
                <w:sz w:val="20"/>
                <w:szCs w:val="20"/>
              </w:rPr>
              <w:t xml:space="preserve">Beachfront projects currently rely on total rather than buildable lot area to compute allowable FAR. This contrasts with hillside projects, which rely on buildable lot area. </w:t>
            </w:r>
          </w:p>
          <w:p w14:paraId="3546D2C4" w14:textId="77777777" w:rsidR="00216CFC" w:rsidRPr="00AD1145" w:rsidRDefault="00216CFC">
            <w:pPr>
              <w:rPr>
                <w:sz w:val="20"/>
                <w:szCs w:val="20"/>
              </w:rPr>
            </w:pPr>
          </w:p>
        </w:tc>
        <w:tc>
          <w:tcPr>
            <w:tcW w:w="4590" w:type="dxa"/>
          </w:tcPr>
          <w:p w14:paraId="79106691" w14:textId="77777777" w:rsidR="00216CFC" w:rsidRPr="00AD1145" w:rsidRDefault="00216CFC" w:rsidP="00216CFC">
            <w:pPr>
              <w:pStyle w:val="Default"/>
              <w:rPr>
                <w:sz w:val="20"/>
                <w:szCs w:val="20"/>
              </w:rPr>
            </w:pPr>
            <w:r w:rsidRPr="00AD1145">
              <w:rPr>
                <w:sz w:val="20"/>
                <w:szCs w:val="20"/>
              </w:rPr>
              <w:t xml:space="preserve">Lot </w:t>
            </w:r>
            <w:r w:rsidR="00AD1145">
              <w:rPr>
                <w:sz w:val="20"/>
                <w:szCs w:val="20"/>
              </w:rPr>
              <w:t>s</w:t>
            </w:r>
            <w:r w:rsidRPr="00AD1145">
              <w:rPr>
                <w:sz w:val="20"/>
                <w:szCs w:val="20"/>
              </w:rPr>
              <w:t xml:space="preserve">ize for FAR calculation on Beachfront properties should be treated the same as Hillside properties. Currently Hillside properties may only utilize the level portion of the lot plus x% of the steep hillside area (or utilize the minimum lot size for that zone). This same logic should be applied for all properties whose boundaries extend out into coastal bluffs and beaches. </w:t>
            </w:r>
          </w:p>
          <w:p w14:paraId="053BBFD1" w14:textId="77777777" w:rsidR="00216CFC" w:rsidRPr="00AD1145" w:rsidRDefault="00216CFC">
            <w:pPr>
              <w:rPr>
                <w:sz w:val="20"/>
                <w:szCs w:val="20"/>
              </w:rPr>
            </w:pPr>
          </w:p>
        </w:tc>
        <w:tc>
          <w:tcPr>
            <w:tcW w:w="3600" w:type="dxa"/>
          </w:tcPr>
          <w:p w14:paraId="603A6135" w14:textId="77777777" w:rsidR="00AD1145" w:rsidRDefault="00DF5AC6">
            <w:pPr>
              <w:rPr>
                <w:color w:val="FF0000"/>
                <w:sz w:val="20"/>
                <w:szCs w:val="20"/>
              </w:rPr>
            </w:pPr>
            <w:r w:rsidRPr="00DF5AC6">
              <w:rPr>
                <w:color w:val="4472C4" w:themeColor="accent1"/>
                <w:sz w:val="20"/>
                <w:szCs w:val="20"/>
              </w:rPr>
              <w:t xml:space="preserve">Submitted 2020. </w:t>
            </w:r>
            <w:r w:rsidR="00AD1145" w:rsidRPr="00AD1145">
              <w:rPr>
                <w:color w:val="FF0000"/>
                <w:sz w:val="20"/>
                <w:szCs w:val="20"/>
              </w:rPr>
              <w:t>Resubmit</w:t>
            </w:r>
            <w:r w:rsidR="00C52FA4">
              <w:rPr>
                <w:color w:val="FF0000"/>
                <w:sz w:val="20"/>
                <w:szCs w:val="20"/>
              </w:rPr>
              <w:t>ted</w:t>
            </w:r>
            <w:r w:rsidR="00AD1145" w:rsidRPr="00AD1145">
              <w:rPr>
                <w:color w:val="FF0000"/>
                <w:sz w:val="20"/>
                <w:szCs w:val="20"/>
              </w:rPr>
              <w:t xml:space="preserve"> in 2021</w:t>
            </w:r>
          </w:p>
          <w:p w14:paraId="3AB01581" w14:textId="77777777" w:rsidR="00C52FA4" w:rsidRDefault="00C52FA4">
            <w:pPr>
              <w:rPr>
                <w:color w:val="FF0000"/>
                <w:sz w:val="20"/>
                <w:szCs w:val="20"/>
              </w:rPr>
            </w:pPr>
            <w:r>
              <w:rPr>
                <w:color w:val="FF0000"/>
                <w:sz w:val="20"/>
                <w:szCs w:val="20"/>
              </w:rPr>
              <w:t>Brian Will</w:t>
            </w:r>
          </w:p>
          <w:p w14:paraId="1035DB3F" w14:textId="77777777" w:rsidR="00DF5AC6" w:rsidRPr="00AD1145" w:rsidRDefault="00DC4458">
            <w:pPr>
              <w:rPr>
                <w:sz w:val="20"/>
                <w:szCs w:val="20"/>
              </w:rPr>
            </w:pPr>
            <w:r w:rsidRPr="00DC4458">
              <w:rPr>
                <w:color w:val="FF0000"/>
                <w:sz w:val="20"/>
                <w:szCs w:val="20"/>
              </w:rPr>
              <w:t>No action from city.</w:t>
            </w:r>
          </w:p>
        </w:tc>
      </w:tr>
    </w:tbl>
    <w:p w14:paraId="3B3FF34B" w14:textId="77777777" w:rsidR="006955D8" w:rsidRPr="00AD1145" w:rsidRDefault="006955D8">
      <w:pPr>
        <w:rPr>
          <w:sz w:val="20"/>
          <w:szCs w:val="20"/>
        </w:rPr>
      </w:pPr>
    </w:p>
    <w:sectPr w:rsidR="006955D8" w:rsidRPr="00AD1145" w:rsidSect="00216C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FC"/>
    <w:rsid w:val="001058B2"/>
    <w:rsid w:val="00137D40"/>
    <w:rsid w:val="00174525"/>
    <w:rsid w:val="001B5821"/>
    <w:rsid w:val="00216CFC"/>
    <w:rsid w:val="003F4B8D"/>
    <w:rsid w:val="006955D8"/>
    <w:rsid w:val="00820E7F"/>
    <w:rsid w:val="008B30BE"/>
    <w:rsid w:val="00AA3509"/>
    <w:rsid w:val="00AD1145"/>
    <w:rsid w:val="00C46C33"/>
    <w:rsid w:val="00C52FA4"/>
    <w:rsid w:val="00CF2916"/>
    <w:rsid w:val="00D93AF0"/>
    <w:rsid w:val="00DC4458"/>
    <w:rsid w:val="00DF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9DD12"/>
  <w14:defaultImageDpi w14:val="32767"/>
  <w15:chartTrackingRefBased/>
  <w15:docId w15:val="{7F9181EF-927B-AB4B-85D9-4E229855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CFC"/>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3057">
      <w:bodyDiv w:val="1"/>
      <w:marLeft w:val="0"/>
      <w:marRight w:val="0"/>
      <w:marTop w:val="0"/>
      <w:marBottom w:val="0"/>
      <w:divBdr>
        <w:top w:val="none" w:sz="0" w:space="0" w:color="auto"/>
        <w:left w:val="none" w:sz="0" w:space="0" w:color="auto"/>
        <w:bottom w:val="none" w:sz="0" w:space="0" w:color="auto"/>
        <w:right w:val="none" w:sz="0" w:space="0" w:color="auto"/>
      </w:divBdr>
    </w:div>
    <w:div w:id="17447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Kane</dc:creator>
  <cp:keywords/>
  <dc:description/>
  <cp:lastModifiedBy>John Kane</cp:lastModifiedBy>
  <cp:revision>3</cp:revision>
  <dcterms:created xsi:type="dcterms:W3CDTF">2023-02-24T21:58:00Z</dcterms:created>
  <dcterms:modified xsi:type="dcterms:W3CDTF">2023-02-24T22:02:00Z</dcterms:modified>
</cp:coreProperties>
</file>