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EEB226" w14:textId="0EC11087" w:rsidR="00B06E55" w:rsidRPr="00B21D54" w:rsidRDefault="00B21D54">
      <w:pPr>
        <w:rPr>
          <w:rFonts w:asciiTheme="majorHAnsi" w:hAnsiTheme="majorHAnsi" w:cstheme="majorHAnsi"/>
          <w:color w:val="000000" w:themeColor="text1"/>
        </w:rPr>
      </w:pPr>
      <w:r w:rsidRPr="00B21D54">
        <w:rPr>
          <w:rFonts w:asciiTheme="majorHAnsi" w:hAnsiTheme="majorHAnsi" w:cstheme="majorHAnsi"/>
          <w:color w:val="000000" w:themeColor="text1"/>
        </w:rPr>
        <w:t>March 22, 2022</w:t>
      </w:r>
    </w:p>
    <w:p w14:paraId="54C4111B" w14:textId="77777777" w:rsidR="00BF2C75" w:rsidRPr="00B21D54" w:rsidRDefault="00BF2C75">
      <w:pPr>
        <w:rPr>
          <w:rFonts w:asciiTheme="majorHAnsi" w:hAnsiTheme="majorHAnsi" w:cstheme="majorHAnsi"/>
        </w:rPr>
      </w:pPr>
    </w:p>
    <w:p w14:paraId="14F77149" w14:textId="77777777" w:rsidR="00BF2C75" w:rsidRPr="00B21D54" w:rsidRDefault="00BF2C75" w:rsidP="00BF2C75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>Mayor Gloria and San Diego City Council</w:t>
      </w:r>
    </w:p>
    <w:p w14:paraId="73C1A933" w14:textId="77777777" w:rsidR="00BF2C75" w:rsidRPr="00B21D54" w:rsidRDefault="00BF2C75" w:rsidP="00BF2C75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>202 C Street, 10th Floor</w:t>
      </w:r>
    </w:p>
    <w:p w14:paraId="2C9FBE57" w14:textId="678505C2" w:rsidR="00E030D4" w:rsidRPr="00B21D54" w:rsidRDefault="00BF2C75" w:rsidP="00BF2C75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>San Diego, CA 92101</w:t>
      </w:r>
    </w:p>
    <w:p w14:paraId="0362C930" w14:textId="60F0F046" w:rsidR="00E030D4" w:rsidRPr="00B21D54" w:rsidRDefault="00E030D4">
      <w:pPr>
        <w:rPr>
          <w:rFonts w:asciiTheme="majorHAnsi" w:hAnsiTheme="majorHAnsi" w:cstheme="majorHAnsi"/>
        </w:rPr>
      </w:pPr>
    </w:p>
    <w:p w14:paraId="163EAA43" w14:textId="7B4BEE12" w:rsidR="00BF2C75" w:rsidRPr="00B21D54" w:rsidRDefault="00BF2C75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Re: </w:t>
      </w:r>
      <w:r w:rsidR="007C5999" w:rsidRPr="00B21D54">
        <w:rPr>
          <w:rFonts w:asciiTheme="majorHAnsi" w:hAnsiTheme="majorHAnsi" w:cstheme="majorHAnsi"/>
        </w:rPr>
        <w:t xml:space="preserve">Support for </w:t>
      </w:r>
      <w:r w:rsidRPr="00B21D54">
        <w:rPr>
          <w:rFonts w:asciiTheme="majorHAnsi" w:hAnsiTheme="majorHAnsi" w:cstheme="majorHAnsi"/>
        </w:rPr>
        <w:t xml:space="preserve">Adaptive Reuse </w:t>
      </w:r>
      <w:r w:rsidR="00737241" w:rsidRPr="00B21D54">
        <w:rPr>
          <w:rFonts w:asciiTheme="majorHAnsi" w:hAnsiTheme="majorHAnsi" w:cstheme="majorHAnsi"/>
        </w:rPr>
        <w:t>O</w:t>
      </w:r>
      <w:r w:rsidRPr="00B21D54">
        <w:rPr>
          <w:rFonts w:asciiTheme="majorHAnsi" w:hAnsiTheme="majorHAnsi" w:cstheme="majorHAnsi"/>
        </w:rPr>
        <w:t xml:space="preserve">rdinance </w:t>
      </w:r>
    </w:p>
    <w:p w14:paraId="1D9464EF" w14:textId="77777777" w:rsidR="00BF2C75" w:rsidRPr="00B21D54" w:rsidRDefault="00BF2C75">
      <w:pPr>
        <w:rPr>
          <w:rFonts w:asciiTheme="majorHAnsi" w:hAnsiTheme="majorHAnsi" w:cstheme="majorHAnsi"/>
        </w:rPr>
      </w:pPr>
    </w:p>
    <w:p w14:paraId="741F5D34" w14:textId="3C8C3248" w:rsidR="00E030D4" w:rsidRPr="00B21D54" w:rsidRDefault="00BF2C75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>Mayor Gloria and Councilmembers,</w:t>
      </w:r>
    </w:p>
    <w:p w14:paraId="01A3508F" w14:textId="71562E33" w:rsidR="00E030D4" w:rsidRPr="00B21D54" w:rsidRDefault="00E030D4">
      <w:pPr>
        <w:rPr>
          <w:rFonts w:asciiTheme="majorHAnsi" w:hAnsiTheme="majorHAnsi" w:cstheme="majorHAnsi"/>
        </w:rPr>
      </w:pPr>
    </w:p>
    <w:p w14:paraId="3D60467A" w14:textId="26CDC495" w:rsidR="007C5999" w:rsidRPr="00B21D54" w:rsidRDefault="007C5999" w:rsidP="007C5999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San Diego’s older building stock is an undervalued asset in the city’s affordable housing strategy.  Through Adaptive Reuse incentives, older, economically languishing, functionally obsolete and/or historically significant buildings can be quickly converted into desperately needed new housing.  </w:t>
      </w:r>
    </w:p>
    <w:p w14:paraId="0F82EB4C" w14:textId="77777777" w:rsidR="007C5999" w:rsidRPr="00B21D54" w:rsidRDefault="007C5999" w:rsidP="007C5999">
      <w:pPr>
        <w:rPr>
          <w:rFonts w:asciiTheme="majorHAnsi" w:hAnsiTheme="majorHAnsi" w:cstheme="majorHAnsi"/>
        </w:rPr>
      </w:pPr>
    </w:p>
    <w:p w14:paraId="467B6EA7" w14:textId="7501CFA2" w:rsidR="00B21D54" w:rsidRPr="00B21D54" w:rsidRDefault="007C5999" w:rsidP="007C5999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Older properties are often hampered from participating in housing solutions due to regulatory and zoning barriers.  The flexibility, regulatory relief, and technical assistance characteristic of </w:t>
      </w:r>
      <w:r w:rsidR="00841B8A" w:rsidRPr="00B21D54">
        <w:rPr>
          <w:rFonts w:asciiTheme="majorHAnsi" w:hAnsiTheme="majorHAnsi" w:cstheme="majorHAnsi"/>
        </w:rPr>
        <w:t>Adaptive Reuse Ordinance</w:t>
      </w:r>
      <w:r w:rsidRPr="00B21D54">
        <w:rPr>
          <w:rFonts w:asciiTheme="majorHAnsi" w:hAnsiTheme="majorHAnsi" w:cstheme="majorHAnsi"/>
        </w:rPr>
        <w:t>s</w:t>
      </w:r>
      <w:r w:rsidR="00841B8A" w:rsidRPr="00B21D54">
        <w:rPr>
          <w:rFonts w:asciiTheme="majorHAnsi" w:hAnsiTheme="majorHAnsi" w:cstheme="majorHAnsi"/>
        </w:rPr>
        <w:t xml:space="preserve"> </w:t>
      </w:r>
      <w:r w:rsidR="00DF77F8" w:rsidRPr="00B21D54">
        <w:rPr>
          <w:rFonts w:asciiTheme="majorHAnsi" w:hAnsiTheme="majorHAnsi" w:cstheme="majorHAnsi"/>
        </w:rPr>
        <w:t xml:space="preserve">would provide </w:t>
      </w:r>
      <w:r w:rsidR="00737241" w:rsidRPr="00B21D54">
        <w:rPr>
          <w:rFonts w:asciiTheme="majorHAnsi" w:hAnsiTheme="majorHAnsi" w:cstheme="majorHAnsi"/>
        </w:rPr>
        <w:t>incentive</w:t>
      </w:r>
      <w:r w:rsidRPr="00B21D54">
        <w:rPr>
          <w:rFonts w:asciiTheme="majorHAnsi" w:hAnsiTheme="majorHAnsi" w:cstheme="majorHAnsi"/>
        </w:rPr>
        <w:t xml:space="preserve">s </w:t>
      </w:r>
      <w:r w:rsidR="00DF77F8" w:rsidRPr="00B21D54">
        <w:rPr>
          <w:rFonts w:asciiTheme="majorHAnsi" w:hAnsiTheme="majorHAnsi" w:cstheme="majorHAnsi"/>
        </w:rPr>
        <w:t xml:space="preserve">to unlock the </w:t>
      </w:r>
      <w:r w:rsidRPr="00B21D54">
        <w:rPr>
          <w:rFonts w:asciiTheme="majorHAnsi" w:hAnsiTheme="majorHAnsi" w:cstheme="majorHAnsi"/>
        </w:rPr>
        <w:t xml:space="preserve">unrecognized </w:t>
      </w:r>
      <w:r w:rsidR="00DF77F8" w:rsidRPr="00B21D54">
        <w:rPr>
          <w:rFonts w:asciiTheme="majorHAnsi" w:hAnsiTheme="majorHAnsi" w:cstheme="majorHAnsi"/>
        </w:rPr>
        <w:t xml:space="preserve">potential </w:t>
      </w:r>
      <w:r w:rsidR="00737241" w:rsidRPr="00B21D54">
        <w:rPr>
          <w:rFonts w:asciiTheme="majorHAnsi" w:hAnsiTheme="majorHAnsi" w:cstheme="majorHAnsi"/>
        </w:rPr>
        <w:t>of these assets</w:t>
      </w:r>
      <w:r w:rsidRPr="00B21D54">
        <w:rPr>
          <w:rFonts w:asciiTheme="majorHAnsi" w:hAnsiTheme="majorHAnsi" w:cstheme="majorHAnsi"/>
        </w:rPr>
        <w:t xml:space="preserve">. </w:t>
      </w:r>
      <w:r w:rsidR="00737241" w:rsidRPr="00B21D54">
        <w:rPr>
          <w:rFonts w:asciiTheme="majorHAnsi" w:hAnsiTheme="majorHAnsi" w:cstheme="majorHAnsi"/>
        </w:rPr>
        <w:t xml:space="preserve"> </w:t>
      </w:r>
      <w:r w:rsidRPr="00B21D54">
        <w:rPr>
          <w:rFonts w:asciiTheme="majorHAnsi" w:hAnsiTheme="majorHAnsi" w:cstheme="majorHAnsi"/>
        </w:rPr>
        <w:t xml:space="preserve">Strategies include </w:t>
      </w:r>
      <w:r w:rsidR="00BD25D9" w:rsidRPr="00B21D54">
        <w:rPr>
          <w:rFonts w:asciiTheme="majorHAnsi" w:hAnsiTheme="majorHAnsi" w:cstheme="majorHAnsi"/>
        </w:rPr>
        <w:t xml:space="preserve">identifying areas with </w:t>
      </w:r>
      <w:r w:rsidR="00737241" w:rsidRPr="00B21D54">
        <w:rPr>
          <w:rFonts w:asciiTheme="majorHAnsi" w:hAnsiTheme="majorHAnsi" w:cstheme="majorHAnsi"/>
        </w:rPr>
        <w:t xml:space="preserve">the </w:t>
      </w:r>
      <w:r w:rsidR="00BD25D9" w:rsidRPr="00B21D54">
        <w:rPr>
          <w:rFonts w:asciiTheme="majorHAnsi" w:hAnsiTheme="majorHAnsi" w:cstheme="majorHAnsi"/>
        </w:rPr>
        <w:t xml:space="preserve">highest reuse opportunities, </w:t>
      </w:r>
      <w:r w:rsidR="00DF77F8" w:rsidRPr="00B21D54">
        <w:rPr>
          <w:rFonts w:asciiTheme="majorHAnsi" w:hAnsiTheme="majorHAnsi" w:cstheme="majorHAnsi"/>
        </w:rPr>
        <w:t xml:space="preserve">creating adaptive reuse overlay zones, </w:t>
      </w:r>
      <w:r w:rsidR="00BD25D9" w:rsidRPr="00B21D54">
        <w:rPr>
          <w:rFonts w:asciiTheme="majorHAnsi" w:hAnsiTheme="majorHAnsi" w:cstheme="majorHAnsi"/>
        </w:rPr>
        <w:t>and</w:t>
      </w:r>
      <w:r w:rsidR="00737241" w:rsidRPr="00B21D54">
        <w:rPr>
          <w:rFonts w:asciiTheme="majorHAnsi" w:hAnsiTheme="majorHAnsi" w:cstheme="majorHAnsi"/>
        </w:rPr>
        <w:t>/or</w:t>
      </w:r>
      <w:r w:rsidR="00BD25D9" w:rsidRPr="00B21D54">
        <w:rPr>
          <w:rFonts w:asciiTheme="majorHAnsi" w:hAnsiTheme="majorHAnsi" w:cstheme="majorHAnsi"/>
        </w:rPr>
        <w:t xml:space="preserve"> </w:t>
      </w:r>
      <w:r w:rsidR="00C27A67" w:rsidRPr="00B21D54">
        <w:rPr>
          <w:rFonts w:asciiTheme="majorHAnsi" w:hAnsiTheme="majorHAnsi" w:cstheme="majorHAnsi"/>
        </w:rPr>
        <w:t>establishing</w:t>
      </w:r>
      <w:r w:rsidR="00BD25D9" w:rsidRPr="00B21D54">
        <w:rPr>
          <w:rFonts w:asciiTheme="majorHAnsi" w:hAnsiTheme="majorHAnsi" w:cstheme="majorHAnsi"/>
        </w:rPr>
        <w:t xml:space="preserve"> alternative </w:t>
      </w:r>
      <w:r w:rsidR="00737241" w:rsidRPr="00B21D54">
        <w:rPr>
          <w:rFonts w:asciiTheme="majorHAnsi" w:hAnsiTheme="majorHAnsi" w:cstheme="majorHAnsi"/>
        </w:rPr>
        <w:t xml:space="preserve">prescriptive </w:t>
      </w:r>
      <w:r w:rsidR="00BD25D9" w:rsidRPr="00B21D54">
        <w:rPr>
          <w:rFonts w:asciiTheme="majorHAnsi" w:hAnsiTheme="majorHAnsi" w:cstheme="majorHAnsi"/>
        </w:rPr>
        <w:t>building code regulations</w:t>
      </w:r>
      <w:r w:rsidRPr="00B21D54">
        <w:rPr>
          <w:rFonts w:asciiTheme="majorHAnsi" w:hAnsiTheme="majorHAnsi" w:cstheme="majorHAnsi"/>
        </w:rPr>
        <w:t>, similar to the highly successful California State Historic Building Code</w:t>
      </w:r>
      <w:r w:rsidR="00BD25D9" w:rsidRPr="00B21D54">
        <w:rPr>
          <w:rFonts w:asciiTheme="majorHAnsi" w:hAnsiTheme="majorHAnsi" w:cstheme="majorHAnsi"/>
        </w:rPr>
        <w:t xml:space="preserve">. </w:t>
      </w:r>
      <w:r w:rsidRPr="00B21D54">
        <w:rPr>
          <w:rFonts w:asciiTheme="majorHAnsi" w:hAnsiTheme="majorHAnsi" w:cstheme="majorHAnsi"/>
        </w:rPr>
        <w:t xml:space="preserve"> </w:t>
      </w:r>
    </w:p>
    <w:p w14:paraId="204D8A62" w14:textId="77777777" w:rsidR="00B21D54" w:rsidRPr="00B21D54" w:rsidRDefault="00B21D54" w:rsidP="007C5999">
      <w:pPr>
        <w:rPr>
          <w:rFonts w:asciiTheme="majorHAnsi" w:hAnsiTheme="majorHAnsi" w:cstheme="majorHAnsi"/>
        </w:rPr>
      </w:pPr>
    </w:p>
    <w:p w14:paraId="6758C01D" w14:textId="0850D6CF" w:rsidR="007C5999" w:rsidRPr="00B21D54" w:rsidRDefault="00737241" w:rsidP="007C5999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>Repurposing older buildings</w:t>
      </w:r>
      <w:r w:rsidR="007C5999" w:rsidRPr="00B21D54">
        <w:rPr>
          <w:rFonts w:asciiTheme="majorHAnsi" w:hAnsiTheme="majorHAnsi" w:cstheme="majorHAnsi"/>
        </w:rPr>
        <w:t xml:space="preserve">, such as pre-1974 office towers and commercial buildings, can quickly add </w:t>
      </w:r>
      <w:r w:rsidRPr="00B21D54">
        <w:rPr>
          <w:rFonts w:asciiTheme="majorHAnsi" w:hAnsiTheme="majorHAnsi" w:cstheme="majorHAnsi"/>
        </w:rPr>
        <w:t>housing</w:t>
      </w:r>
      <w:r w:rsidR="007C5999" w:rsidRPr="00B21D54">
        <w:rPr>
          <w:rFonts w:asciiTheme="majorHAnsi" w:hAnsiTheme="majorHAnsi" w:cstheme="majorHAnsi"/>
        </w:rPr>
        <w:t xml:space="preserve"> in denser, mixed-use areas. The reuse of older buildings also benefits the city’s Climate Action Plan. Using a building that already exists takes advantage of its embodied energy and reduces demolition waste.  This strategy also supports housing affordability, environmental sustainability and economic prosperity.</w:t>
      </w:r>
    </w:p>
    <w:p w14:paraId="098BE128" w14:textId="5B5E73EC" w:rsidR="00DC6FB2" w:rsidRPr="00B21D54" w:rsidRDefault="00DC6FB2">
      <w:pPr>
        <w:rPr>
          <w:rFonts w:asciiTheme="majorHAnsi" w:hAnsiTheme="majorHAnsi" w:cstheme="majorHAnsi"/>
        </w:rPr>
      </w:pPr>
    </w:p>
    <w:p w14:paraId="256DBC51" w14:textId="77777777" w:rsidR="00B21D54" w:rsidRPr="00B21D54" w:rsidRDefault="00737241" w:rsidP="007B3F1A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Adaptive Reuse </w:t>
      </w:r>
      <w:r w:rsidR="004F4106" w:rsidRPr="00B21D54">
        <w:rPr>
          <w:rFonts w:asciiTheme="majorHAnsi" w:hAnsiTheme="majorHAnsi" w:cstheme="majorHAnsi"/>
        </w:rPr>
        <w:t>ordinances</w:t>
      </w:r>
      <w:r w:rsidR="007C5999" w:rsidRPr="00B21D54">
        <w:rPr>
          <w:rFonts w:asciiTheme="majorHAnsi" w:hAnsiTheme="majorHAnsi" w:cstheme="majorHAnsi"/>
        </w:rPr>
        <w:t xml:space="preserve"> in other California cities have been successful </w:t>
      </w:r>
      <w:r w:rsidR="00C27A67" w:rsidRPr="00B21D54">
        <w:rPr>
          <w:rFonts w:asciiTheme="majorHAnsi" w:hAnsiTheme="majorHAnsi" w:cstheme="majorHAnsi"/>
        </w:rPr>
        <w:t xml:space="preserve">in </w:t>
      </w:r>
      <w:r w:rsidRPr="00B21D54">
        <w:rPr>
          <w:rFonts w:asciiTheme="majorHAnsi" w:hAnsiTheme="majorHAnsi" w:cstheme="majorHAnsi"/>
        </w:rPr>
        <w:t xml:space="preserve">providing </w:t>
      </w:r>
      <w:r w:rsidR="007C5999" w:rsidRPr="00B21D54">
        <w:rPr>
          <w:rFonts w:asciiTheme="majorHAnsi" w:hAnsiTheme="majorHAnsi" w:cstheme="majorHAnsi"/>
        </w:rPr>
        <w:t xml:space="preserve">new </w:t>
      </w:r>
      <w:r w:rsidRPr="00B21D54">
        <w:rPr>
          <w:rFonts w:asciiTheme="majorHAnsi" w:hAnsiTheme="majorHAnsi" w:cstheme="majorHAnsi"/>
        </w:rPr>
        <w:t xml:space="preserve">housing and </w:t>
      </w:r>
      <w:r w:rsidR="00C27A67" w:rsidRPr="00B21D54">
        <w:rPr>
          <w:rFonts w:asciiTheme="majorHAnsi" w:hAnsiTheme="majorHAnsi" w:cstheme="majorHAnsi"/>
        </w:rPr>
        <w:t>revitalizing key neighborhoods. In 1999</w:t>
      </w:r>
      <w:r w:rsidRPr="00B21D54">
        <w:rPr>
          <w:rFonts w:asciiTheme="majorHAnsi" w:hAnsiTheme="majorHAnsi" w:cstheme="majorHAnsi"/>
        </w:rPr>
        <w:t>,</w:t>
      </w:r>
      <w:r w:rsidR="00C27A67" w:rsidRPr="00B21D54">
        <w:rPr>
          <w:rFonts w:asciiTheme="majorHAnsi" w:hAnsiTheme="majorHAnsi" w:cstheme="majorHAnsi"/>
        </w:rPr>
        <w:t xml:space="preserve"> Los Angeles passed an adaptive reuse ordinance that</w:t>
      </w:r>
      <w:r w:rsidRPr="00B21D54">
        <w:rPr>
          <w:rFonts w:asciiTheme="majorHAnsi" w:hAnsiTheme="majorHAnsi" w:cstheme="majorHAnsi"/>
        </w:rPr>
        <w:t xml:space="preserve"> </w:t>
      </w:r>
      <w:r w:rsidR="007C5999" w:rsidRPr="00B21D54">
        <w:rPr>
          <w:rFonts w:asciiTheme="majorHAnsi" w:hAnsiTheme="majorHAnsi" w:cstheme="majorHAnsi"/>
        </w:rPr>
        <w:t xml:space="preserve">sparked </w:t>
      </w:r>
      <w:r w:rsidR="003C0727" w:rsidRPr="00B21D54">
        <w:rPr>
          <w:rFonts w:asciiTheme="majorHAnsi" w:hAnsiTheme="majorHAnsi" w:cstheme="majorHAnsi"/>
        </w:rPr>
        <w:t>its</w:t>
      </w:r>
      <w:r w:rsidRPr="00B21D54">
        <w:rPr>
          <w:rFonts w:asciiTheme="majorHAnsi" w:hAnsiTheme="majorHAnsi" w:cstheme="majorHAnsi"/>
        </w:rPr>
        <w:t xml:space="preserve"> </w:t>
      </w:r>
      <w:r w:rsidR="007C5999" w:rsidRPr="00B21D54">
        <w:rPr>
          <w:rFonts w:asciiTheme="majorHAnsi" w:hAnsiTheme="majorHAnsi" w:cstheme="majorHAnsi"/>
        </w:rPr>
        <w:t xml:space="preserve">flagging </w:t>
      </w:r>
      <w:r w:rsidR="00C27A67" w:rsidRPr="00B21D54">
        <w:rPr>
          <w:rFonts w:asciiTheme="majorHAnsi" w:hAnsiTheme="majorHAnsi" w:cstheme="majorHAnsi"/>
        </w:rPr>
        <w:t xml:space="preserve">downtown into a thriving mixed-use corridor. </w:t>
      </w:r>
      <w:r w:rsidR="00DC1B3F" w:rsidRPr="00B21D54">
        <w:rPr>
          <w:rFonts w:asciiTheme="majorHAnsi" w:hAnsiTheme="majorHAnsi" w:cstheme="majorHAnsi"/>
        </w:rPr>
        <w:t>Pre-1999, there w</w:t>
      </w:r>
      <w:r w:rsidR="007C5999" w:rsidRPr="00B21D54">
        <w:rPr>
          <w:rFonts w:asciiTheme="majorHAnsi" w:hAnsiTheme="majorHAnsi" w:cstheme="majorHAnsi"/>
        </w:rPr>
        <w:t>ere</w:t>
      </w:r>
      <w:r w:rsidR="00DC1B3F" w:rsidRPr="00B21D54">
        <w:rPr>
          <w:rFonts w:asciiTheme="majorHAnsi" w:hAnsiTheme="majorHAnsi" w:cstheme="majorHAnsi"/>
        </w:rPr>
        <w:t xml:space="preserve"> 11,626 residential units in the district</w:t>
      </w:r>
      <w:r w:rsidR="007C5999" w:rsidRPr="00B21D54">
        <w:rPr>
          <w:rFonts w:asciiTheme="majorHAnsi" w:hAnsiTheme="majorHAnsi" w:cstheme="majorHAnsi"/>
        </w:rPr>
        <w:t>;</w:t>
      </w:r>
      <w:r w:rsidR="00DC1B3F" w:rsidRPr="00B21D54">
        <w:rPr>
          <w:rFonts w:asciiTheme="majorHAnsi" w:hAnsiTheme="majorHAnsi" w:cstheme="majorHAnsi"/>
        </w:rPr>
        <w:t xml:space="preserve"> </w:t>
      </w:r>
      <w:r w:rsidR="007C5999" w:rsidRPr="00B21D54">
        <w:rPr>
          <w:rFonts w:asciiTheme="majorHAnsi" w:hAnsiTheme="majorHAnsi" w:cstheme="majorHAnsi"/>
        </w:rPr>
        <w:t>a</w:t>
      </w:r>
      <w:r w:rsidR="00DC1B3F" w:rsidRPr="00B21D54">
        <w:rPr>
          <w:rFonts w:asciiTheme="majorHAnsi" w:hAnsiTheme="majorHAnsi" w:cstheme="majorHAnsi"/>
        </w:rPr>
        <w:t>s of January 2019, there were 48,677</w:t>
      </w:r>
      <w:r w:rsidR="007C5999" w:rsidRPr="00B21D54">
        <w:rPr>
          <w:rFonts w:asciiTheme="majorHAnsi" w:hAnsiTheme="majorHAnsi" w:cstheme="majorHAnsi"/>
        </w:rPr>
        <w:t>.</w:t>
      </w:r>
      <w:r w:rsidR="00DC1B3F" w:rsidRPr="00B21D54">
        <w:rPr>
          <w:rFonts w:asciiTheme="majorHAnsi" w:hAnsiTheme="majorHAnsi" w:cstheme="majorHAnsi"/>
        </w:rPr>
        <w:t xml:space="preserve"> </w:t>
      </w:r>
      <w:r w:rsidR="007C5999" w:rsidRPr="00B21D54">
        <w:rPr>
          <w:rFonts w:asciiTheme="majorHAnsi" w:hAnsiTheme="majorHAnsi" w:cstheme="majorHAnsi"/>
        </w:rPr>
        <w:t xml:space="preserve">  This</w:t>
      </w:r>
      <w:r w:rsidR="00F142E5" w:rsidRPr="00B21D54">
        <w:rPr>
          <w:rFonts w:asciiTheme="majorHAnsi" w:hAnsiTheme="majorHAnsi" w:cstheme="majorHAnsi"/>
        </w:rPr>
        <w:t xml:space="preserve"> </w:t>
      </w:r>
      <w:r w:rsidR="00DC1B3F" w:rsidRPr="00B21D54">
        <w:rPr>
          <w:rFonts w:asciiTheme="majorHAnsi" w:hAnsiTheme="majorHAnsi" w:cstheme="majorHAnsi"/>
        </w:rPr>
        <w:t>demonstrat</w:t>
      </w:r>
      <w:r w:rsidR="00F142E5" w:rsidRPr="00B21D54">
        <w:rPr>
          <w:rFonts w:asciiTheme="majorHAnsi" w:hAnsiTheme="majorHAnsi" w:cstheme="majorHAnsi"/>
        </w:rPr>
        <w:t>es</w:t>
      </w:r>
      <w:r w:rsidR="00DC1B3F" w:rsidRPr="00B21D54">
        <w:rPr>
          <w:rFonts w:asciiTheme="majorHAnsi" w:hAnsiTheme="majorHAnsi" w:cstheme="majorHAnsi"/>
        </w:rPr>
        <w:t xml:space="preserve"> the </w:t>
      </w:r>
      <w:r w:rsidR="00F142E5" w:rsidRPr="00B21D54">
        <w:rPr>
          <w:rFonts w:asciiTheme="majorHAnsi" w:hAnsiTheme="majorHAnsi" w:cstheme="majorHAnsi"/>
        </w:rPr>
        <w:t>success</w:t>
      </w:r>
      <w:r w:rsidR="00DC1B3F" w:rsidRPr="00B21D54">
        <w:rPr>
          <w:rFonts w:asciiTheme="majorHAnsi" w:hAnsiTheme="majorHAnsi" w:cstheme="majorHAnsi"/>
        </w:rPr>
        <w:t xml:space="preserve"> and potential f</w:t>
      </w:r>
      <w:r w:rsidR="00F142E5" w:rsidRPr="00B21D54">
        <w:rPr>
          <w:rFonts w:asciiTheme="majorHAnsi" w:hAnsiTheme="majorHAnsi" w:cstheme="majorHAnsi"/>
        </w:rPr>
        <w:t>or</w:t>
      </w:r>
      <w:r w:rsidR="00DC1B3F" w:rsidRPr="00B21D54">
        <w:rPr>
          <w:rFonts w:asciiTheme="majorHAnsi" w:hAnsiTheme="majorHAnsi" w:cstheme="majorHAnsi"/>
        </w:rPr>
        <w:t xml:space="preserve"> adaptive reuse ordinances to </w:t>
      </w:r>
      <w:r w:rsidR="007C5999" w:rsidRPr="00B21D54">
        <w:rPr>
          <w:rFonts w:asciiTheme="majorHAnsi" w:hAnsiTheme="majorHAnsi" w:cstheme="majorHAnsi"/>
        </w:rPr>
        <w:t>ignite</w:t>
      </w:r>
      <w:r w:rsidR="00DC1B3F" w:rsidRPr="00B21D54">
        <w:rPr>
          <w:rFonts w:asciiTheme="majorHAnsi" w:hAnsiTheme="majorHAnsi" w:cstheme="majorHAnsi"/>
        </w:rPr>
        <w:t xml:space="preserve"> revitalization and address housing</w:t>
      </w:r>
      <w:r w:rsidR="007C5999" w:rsidRPr="00B21D54">
        <w:rPr>
          <w:rFonts w:asciiTheme="majorHAnsi" w:hAnsiTheme="majorHAnsi" w:cstheme="majorHAnsi"/>
        </w:rPr>
        <w:t xml:space="preserve"> needs</w:t>
      </w:r>
      <w:r w:rsidR="00DC1B3F" w:rsidRPr="00B21D54">
        <w:rPr>
          <w:rFonts w:asciiTheme="majorHAnsi" w:hAnsiTheme="majorHAnsi" w:cstheme="majorHAnsi"/>
        </w:rPr>
        <w:t>.</w:t>
      </w:r>
      <w:r w:rsidR="007C5999" w:rsidRPr="00B21D54">
        <w:rPr>
          <w:rFonts w:asciiTheme="majorHAnsi" w:hAnsiTheme="majorHAnsi" w:cstheme="majorHAnsi"/>
        </w:rPr>
        <w:t xml:space="preserve">  </w:t>
      </w:r>
    </w:p>
    <w:p w14:paraId="522F3893" w14:textId="77777777" w:rsidR="00B21D54" w:rsidRPr="00B21D54" w:rsidRDefault="00B21D54" w:rsidP="007B3F1A">
      <w:pPr>
        <w:rPr>
          <w:rFonts w:asciiTheme="majorHAnsi" w:hAnsiTheme="majorHAnsi" w:cstheme="majorHAnsi"/>
        </w:rPr>
      </w:pPr>
    </w:p>
    <w:p w14:paraId="26C03810" w14:textId="40EBD8FA" w:rsidR="000D0960" w:rsidRPr="00B21D54" w:rsidRDefault="00DC7BE3" w:rsidP="007B3F1A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In 2014, Santa Ana </w:t>
      </w:r>
      <w:r w:rsidR="007B3F1A" w:rsidRPr="00B21D54">
        <w:rPr>
          <w:rFonts w:asciiTheme="majorHAnsi" w:hAnsiTheme="majorHAnsi" w:cstheme="majorHAnsi"/>
        </w:rPr>
        <w:t xml:space="preserve">and Long Beach also </w:t>
      </w:r>
      <w:r w:rsidR="00737241" w:rsidRPr="00B21D54">
        <w:rPr>
          <w:rFonts w:asciiTheme="majorHAnsi" w:hAnsiTheme="majorHAnsi" w:cstheme="majorHAnsi"/>
        </w:rPr>
        <w:t>adopted</w:t>
      </w:r>
      <w:r w:rsidRPr="00B21D54">
        <w:rPr>
          <w:rFonts w:asciiTheme="majorHAnsi" w:hAnsiTheme="majorHAnsi" w:cstheme="majorHAnsi"/>
        </w:rPr>
        <w:t xml:space="preserve"> adaptive reuse ordinance</w:t>
      </w:r>
      <w:r w:rsidR="007C5999" w:rsidRPr="00B21D54">
        <w:rPr>
          <w:rFonts w:asciiTheme="majorHAnsi" w:hAnsiTheme="majorHAnsi" w:cstheme="majorHAnsi"/>
        </w:rPr>
        <w:t>s</w:t>
      </w:r>
      <w:r w:rsidRPr="00B21D54">
        <w:rPr>
          <w:rFonts w:asciiTheme="majorHAnsi" w:hAnsiTheme="majorHAnsi" w:cstheme="majorHAnsi"/>
        </w:rPr>
        <w:t xml:space="preserve"> </w:t>
      </w:r>
      <w:r w:rsidR="00737241" w:rsidRPr="00B21D54">
        <w:rPr>
          <w:rFonts w:asciiTheme="majorHAnsi" w:hAnsiTheme="majorHAnsi" w:cstheme="majorHAnsi"/>
        </w:rPr>
        <w:t>to</w:t>
      </w:r>
      <w:r w:rsidRPr="00B21D54">
        <w:rPr>
          <w:rFonts w:asciiTheme="majorHAnsi" w:hAnsiTheme="majorHAnsi" w:cstheme="majorHAnsi"/>
        </w:rPr>
        <w:t xml:space="preserve"> incentiviz</w:t>
      </w:r>
      <w:r w:rsidR="00737241" w:rsidRPr="00B21D54">
        <w:rPr>
          <w:rFonts w:asciiTheme="majorHAnsi" w:hAnsiTheme="majorHAnsi" w:cstheme="majorHAnsi"/>
        </w:rPr>
        <w:t>e</w:t>
      </w:r>
      <w:r w:rsidRPr="00B21D54">
        <w:rPr>
          <w:rFonts w:asciiTheme="majorHAnsi" w:hAnsiTheme="majorHAnsi" w:cstheme="majorHAnsi"/>
        </w:rPr>
        <w:t xml:space="preserve"> reuse in and around </w:t>
      </w:r>
      <w:r w:rsidR="007C5999" w:rsidRPr="00B21D54">
        <w:rPr>
          <w:rFonts w:asciiTheme="majorHAnsi" w:hAnsiTheme="majorHAnsi" w:cstheme="majorHAnsi"/>
        </w:rPr>
        <w:t>their</w:t>
      </w:r>
      <w:r w:rsidRPr="00B21D54">
        <w:rPr>
          <w:rFonts w:asciiTheme="majorHAnsi" w:hAnsiTheme="majorHAnsi" w:cstheme="majorHAnsi"/>
        </w:rPr>
        <w:t xml:space="preserve"> downtown area</w:t>
      </w:r>
      <w:r w:rsidR="007C5999" w:rsidRPr="00B21D54">
        <w:rPr>
          <w:rFonts w:asciiTheme="majorHAnsi" w:hAnsiTheme="majorHAnsi" w:cstheme="majorHAnsi"/>
        </w:rPr>
        <w:t>s</w:t>
      </w:r>
      <w:r w:rsidRPr="00B21D54">
        <w:rPr>
          <w:rFonts w:asciiTheme="majorHAnsi" w:hAnsiTheme="majorHAnsi" w:cstheme="majorHAnsi"/>
        </w:rPr>
        <w:t>. The</w:t>
      </w:r>
      <w:r w:rsidR="007C5999" w:rsidRPr="00B21D54">
        <w:rPr>
          <w:rFonts w:asciiTheme="majorHAnsi" w:hAnsiTheme="majorHAnsi" w:cstheme="majorHAnsi"/>
        </w:rPr>
        <w:t>se</w:t>
      </w:r>
      <w:r w:rsidRPr="00B21D54">
        <w:rPr>
          <w:rFonts w:asciiTheme="majorHAnsi" w:hAnsiTheme="majorHAnsi" w:cstheme="majorHAnsi"/>
        </w:rPr>
        <w:t xml:space="preserve"> ordinance</w:t>
      </w:r>
      <w:r w:rsidR="007B3F1A" w:rsidRPr="00B21D54">
        <w:rPr>
          <w:rFonts w:asciiTheme="majorHAnsi" w:hAnsiTheme="majorHAnsi" w:cstheme="majorHAnsi"/>
        </w:rPr>
        <w:t>s</w:t>
      </w:r>
      <w:r w:rsidRPr="00B21D54">
        <w:rPr>
          <w:rFonts w:asciiTheme="majorHAnsi" w:hAnsiTheme="majorHAnsi" w:cstheme="majorHAnsi"/>
        </w:rPr>
        <w:t xml:space="preserve"> </w:t>
      </w:r>
      <w:r w:rsidR="00F142E5" w:rsidRPr="00B21D54">
        <w:rPr>
          <w:rFonts w:asciiTheme="majorHAnsi" w:hAnsiTheme="majorHAnsi" w:cstheme="majorHAnsi"/>
        </w:rPr>
        <w:t>focus on</w:t>
      </w:r>
      <w:r w:rsidRPr="00B21D54">
        <w:rPr>
          <w:rFonts w:asciiTheme="majorHAnsi" w:hAnsiTheme="majorHAnsi" w:cstheme="majorHAnsi"/>
        </w:rPr>
        <w:t xml:space="preserve"> buildings built before 1974</w:t>
      </w:r>
      <w:r w:rsidR="00F142E5" w:rsidRPr="00B21D54">
        <w:rPr>
          <w:rFonts w:asciiTheme="majorHAnsi" w:hAnsiTheme="majorHAnsi" w:cstheme="majorHAnsi"/>
        </w:rPr>
        <w:t xml:space="preserve"> and</w:t>
      </w:r>
      <w:r w:rsidRPr="00B21D54">
        <w:rPr>
          <w:rFonts w:asciiTheme="majorHAnsi" w:hAnsiTheme="majorHAnsi" w:cstheme="majorHAnsi"/>
        </w:rPr>
        <w:t xml:space="preserve"> those that are historically designated, </w:t>
      </w:r>
      <w:r w:rsidR="007B3F1A" w:rsidRPr="00B21D54">
        <w:rPr>
          <w:rFonts w:asciiTheme="majorHAnsi" w:hAnsiTheme="majorHAnsi" w:cstheme="majorHAnsi"/>
        </w:rPr>
        <w:t xml:space="preserve">helping </w:t>
      </w:r>
      <w:r w:rsidR="007C5999" w:rsidRPr="00B21D54">
        <w:rPr>
          <w:rFonts w:asciiTheme="majorHAnsi" w:hAnsiTheme="majorHAnsi" w:cstheme="majorHAnsi"/>
        </w:rPr>
        <w:t xml:space="preserve">to </w:t>
      </w:r>
      <w:r w:rsidR="00B21D54" w:rsidRPr="00B21D54">
        <w:rPr>
          <w:rFonts w:asciiTheme="majorHAnsi" w:hAnsiTheme="majorHAnsi" w:cstheme="majorHAnsi"/>
        </w:rPr>
        <w:t>increase affordable</w:t>
      </w:r>
      <w:r w:rsidRPr="00B21D54">
        <w:rPr>
          <w:rFonts w:asciiTheme="majorHAnsi" w:hAnsiTheme="majorHAnsi" w:cstheme="majorHAnsi"/>
        </w:rPr>
        <w:t xml:space="preserve"> </w:t>
      </w:r>
      <w:r w:rsidR="007B3F1A" w:rsidRPr="00B21D54">
        <w:rPr>
          <w:rFonts w:asciiTheme="majorHAnsi" w:hAnsiTheme="majorHAnsi" w:cstheme="majorHAnsi"/>
        </w:rPr>
        <w:t>housing in the</w:t>
      </w:r>
      <w:r w:rsidR="007C5999" w:rsidRPr="00B21D54">
        <w:rPr>
          <w:rFonts w:asciiTheme="majorHAnsi" w:hAnsiTheme="majorHAnsi" w:cstheme="majorHAnsi"/>
        </w:rPr>
        <w:t>se</w:t>
      </w:r>
      <w:r w:rsidR="007B3F1A" w:rsidRPr="00B21D54">
        <w:rPr>
          <w:rFonts w:asciiTheme="majorHAnsi" w:hAnsiTheme="majorHAnsi" w:cstheme="majorHAnsi"/>
        </w:rPr>
        <w:t xml:space="preserve"> downtown areas</w:t>
      </w:r>
      <w:r w:rsidRPr="00B21D54">
        <w:rPr>
          <w:rFonts w:asciiTheme="majorHAnsi" w:hAnsiTheme="majorHAnsi" w:cstheme="majorHAnsi"/>
        </w:rPr>
        <w:t>.</w:t>
      </w:r>
      <w:r w:rsidR="00737241" w:rsidRPr="00B21D54">
        <w:rPr>
          <w:rFonts w:asciiTheme="majorHAnsi" w:hAnsiTheme="majorHAnsi" w:cstheme="majorHAnsi"/>
        </w:rPr>
        <w:t xml:space="preserve"> </w:t>
      </w:r>
    </w:p>
    <w:p w14:paraId="54F06EF7" w14:textId="77777777" w:rsidR="009F54B6" w:rsidRPr="00B21D54" w:rsidRDefault="009F54B6" w:rsidP="000D0960">
      <w:pPr>
        <w:rPr>
          <w:rFonts w:asciiTheme="majorHAnsi" w:hAnsiTheme="majorHAnsi" w:cstheme="majorHAnsi"/>
          <w:color w:val="00B050"/>
        </w:rPr>
      </w:pPr>
    </w:p>
    <w:p w14:paraId="73D51184" w14:textId="77777777" w:rsidR="00BF7DB8" w:rsidRDefault="007C5999" w:rsidP="000D0960">
      <w:pPr>
        <w:rPr>
          <w:rFonts w:asciiTheme="majorHAnsi" w:hAnsiTheme="majorHAnsi" w:cstheme="majorHAnsi"/>
        </w:rPr>
      </w:pPr>
      <w:r w:rsidRPr="00B21D54">
        <w:rPr>
          <w:rFonts w:asciiTheme="majorHAnsi" w:hAnsiTheme="majorHAnsi" w:cstheme="majorHAnsi"/>
        </w:rPr>
        <w:t xml:space="preserve">The La Jolla Community Planning Association supports the development and implementation of an Adaptive Reuse Ordinance as part of San Diego’s Affordable Housing Toolkit.  We believe it </w:t>
      </w:r>
      <w:r w:rsidR="00B21D54" w:rsidRPr="00B21D54">
        <w:rPr>
          <w:rFonts w:asciiTheme="majorHAnsi" w:hAnsiTheme="majorHAnsi" w:cstheme="majorHAnsi"/>
        </w:rPr>
        <w:t>w</w:t>
      </w:r>
      <w:r w:rsidRPr="00B21D54">
        <w:rPr>
          <w:rFonts w:asciiTheme="majorHAnsi" w:hAnsiTheme="majorHAnsi" w:cstheme="majorHAnsi"/>
        </w:rPr>
        <w:t xml:space="preserve">ould assist with </w:t>
      </w:r>
      <w:r w:rsidR="00B21D54" w:rsidRPr="00B21D54">
        <w:rPr>
          <w:rFonts w:asciiTheme="majorHAnsi" w:hAnsiTheme="majorHAnsi" w:cstheme="majorHAnsi"/>
        </w:rPr>
        <w:t xml:space="preserve">revamping </w:t>
      </w:r>
      <w:r w:rsidRPr="00B21D54">
        <w:rPr>
          <w:rFonts w:asciiTheme="majorHAnsi" w:hAnsiTheme="majorHAnsi" w:cstheme="majorHAnsi"/>
        </w:rPr>
        <w:t>underused office</w:t>
      </w:r>
      <w:r w:rsidR="00B21D54" w:rsidRPr="00B21D54">
        <w:rPr>
          <w:rFonts w:asciiTheme="majorHAnsi" w:hAnsiTheme="majorHAnsi" w:cstheme="majorHAnsi"/>
        </w:rPr>
        <w:t>, commercial</w:t>
      </w:r>
      <w:r w:rsidRPr="00B21D54">
        <w:rPr>
          <w:rFonts w:asciiTheme="majorHAnsi" w:hAnsiTheme="majorHAnsi" w:cstheme="majorHAnsi"/>
        </w:rPr>
        <w:t xml:space="preserve"> and retail space in the Village of La Jolla.</w:t>
      </w:r>
      <w:r w:rsidR="00B21D54" w:rsidRPr="00B21D54">
        <w:rPr>
          <w:rFonts w:asciiTheme="majorHAnsi" w:hAnsiTheme="majorHAnsi" w:cstheme="majorHAnsi"/>
        </w:rPr>
        <w:t xml:space="preserve">  Converting it to affordable live/work units would reduce traffic, as many of these buildings already have ample underground parking. </w:t>
      </w:r>
    </w:p>
    <w:p w14:paraId="402CEC2E" w14:textId="77777777" w:rsidR="00BF7DB8" w:rsidRDefault="00BF7DB8" w:rsidP="000D0960">
      <w:pPr>
        <w:rPr>
          <w:rFonts w:asciiTheme="majorHAnsi" w:hAnsiTheme="majorHAnsi" w:cstheme="majorHAnsi"/>
        </w:rPr>
      </w:pPr>
    </w:p>
    <w:p w14:paraId="0904BD4C" w14:textId="77777777" w:rsidR="00C6494F" w:rsidRDefault="00C6494F" w:rsidP="000D0960">
      <w:pPr>
        <w:rPr>
          <w:rFonts w:asciiTheme="majorHAnsi" w:hAnsiTheme="majorHAnsi" w:cstheme="majorHAnsi"/>
        </w:rPr>
      </w:pPr>
    </w:p>
    <w:p w14:paraId="00DA479D" w14:textId="26E1E50B" w:rsidR="00BF7DB8" w:rsidRDefault="00C6494F" w:rsidP="00C6494F">
      <w:pPr>
        <w:ind w:left="180" w:hanging="9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lastRenderedPageBreak/>
        <w:t xml:space="preserve">  </w:t>
      </w:r>
      <w:r w:rsidR="00B21D54" w:rsidRPr="00B21D54">
        <w:rPr>
          <w:rFonts w:asciiTheme="majorHAnsi" w:hAnsiTheme="majorHAnsi" w:cstheme="majorHAnsi"/>
        </w:rPr>
        <w:t xml:space="preserve">Increasing the Village’s supply of  residential units would promote multi-mobility and increase pedestrian activity, adding energy and vitality into </w:t>
      </w:r>
      <w:r w:rsidR="004E472B">
        <w:rPr>
          <w:rFonts w:asciiTheme="majorHAnsi" w:hAnsiTheme="majorHAnsi" w:cstheme="majorHAnsi"/>
        </w:rPr>
        <w:t xml:space="preserve">the </w:t>
      </w:r>
      <w:r w:rsidR="00B21D54" w:rsidRPr="00B21D54">
        <w:rPr>
          <w:rFonts w:asciiTheme="majorHAnsi" w:hAnsiTheme="majorHAnsi" w:cstheme="majorHAnsi"/>
        </w:rPr>
        <w:t xml:space="preserve">Village.  </w:t>
      </w:r>
      <w:r w:rsidR="00BF7DB8">
        <w:rPr>
          <w:rFonts w:asciiTheme="majorHAnsi" w:hAnsiTheme="majorHAnsi" w:cstheme="majorHAnsi"/>
        </w:rPr>
        <w:t>We are providing a Village map that indicates the extent of underutilized properties to demonstrate the potential benefits of such an ordinance to La Jolla.</w:t>
      </w:r>
    </w:p>
    <w:p w14:paraId="23675C1E" w14:textId="77777777" w:rsidR="00BF7DB8" w:rsidRDefault="00BF7DB8" w:rsidP="000D0960">
      <w:pPr>
        <w:rPr>
          <w:rFonts w:asciiTheme="majorHAnsi" w:hAnsiTheme="majorHAnsi" w:cstheme="majorHAnsi"/>
        </w:rPr>
      </w:pPr>
    </w:p>
    <w:p w14:paraId="55740A89" w14:textId="77777777" w:rsidR="00C6494F" w:rsidRDefault="00C6494F" w:rsidP="000D096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   </w:t>
      </w:r>
      <w:r w:rsidR="00B21D54" w:rsidRPr="00B21D54">
        <w:rPr>
          <w:rFonts w:asciiTheme="majorHAnsi" w:hAnsiTheme="majorHAnsi" w:cstheme="majorHAnsi"/>
        </w:rPr>
        <w:t xml:space="preserve">We look forward to working with city staff on the preparation of such an ordinance and request </w:t>
      </w:r>
    </w:p>
    <w:p w14:paraId="469902F6" w14:textId="5C8119D5" w:rsidR="000D0960" w:rsidRPr="00B21D54" w:rsidRDefault="00C6494F" w:rsidP="000D096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   </w:t>
      </w:r>
      <w:r w:rsidR="00B21D54" w:rsidRPr="00B21D54">
        <w:rPr>
          <w:rFonts w:asciiTheme="majorHAnsi" w:hAnsiTheme="majorHAnsi" w:cstheme="majorHAnsi"/>
        </w:rPr>
        <w:t xml:space="preserve">this </w:t>
      </w:r>
      <w:r>
        <w:rPr>
          <w:rFonts w:asciiTheme="majorHAnsi" w:hAnsiTheme="majorHAnsi" w:cstheme="majorHAnsi"/>
        </w:rPr>
        <w:t xml:space="preserve"> </w:t>
      </w:r>
      <w:r w:rsidR="00B21D54" w:rsidRPr="00B21D54">
        <w:rPr>
          <w:rFonts w:asciiTheme="majorHAnsi" w:hAnsiTheme="majorHAnsi" w:cstheme="majorHAnsi"/>
        </w:rPr>
        <w:t>proposal proceed with highest priority.</w:t>
      </w:r>
    </w:p>
    <w:p w14:paraId="2442D57A" w14:textId="33047992" w:rsidR="000D0960" w:rsidRPr="00B21D54" w:rsidRDefault="000D0960" w:rsidP="000D0960">
      <w:pPr>
        <w:rPr>
          <w:rFonts w:asciiTheme="majorHAnsi" w:hAnsiTheme="majorHAnsi" w:cstheme="majorHAnsi"/>
        </w:rPr>
      </w:pPr>
    </w:p>
    <w:p w14:paraId="4DB89E1F" w14:textId="3A3A8AB3" w:rsidR="000D0960" w:rsidRPr="00B21D54" w:rsidRDefault="00C6494F" w:rsidP="000D096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   </w:t>
      </w:r>
      <w:r w:rsidR="000D0960" w:rsidRPr="00B21D54">
        <w:rPr>
          <w:rFonts w:asciiTheme="majorHAnsi" w:hAnsiTheme="majorHAnsi" w:cstheme="majorHAnsi"/>
        </w:rPr>
        <w:t>Sincerely,</w:t>
      </w:r>
    </w:p>
    <w:p w14:paraId="4A59977C" w14:textId="1FA3B528" w:rsidR="000D0960" w:rsidRDefault="000D0960" w:rsidP="000D0960">
      <w:pPr>
        <w:rPr>
          <w:rFonts w:ascii="Baskerville" w:hAnsi="Baskerville"/>
        </w:rPr>
      </w:pPr>
    </w:p>
    <w:p w14:paraId="66697627" w14:textId="76E69FF7" w:rsidR="00B21D54" w:rsidRDefault="00B21D54" w:rsidP="000D0960">
      <w:pPr>
        <w:rPr>
          <w:rFonts w:ascii="Baskerville" w:hAnsi="Baskerville"/>
        </w:rPr>
      </w:pPr>
    </w:p>
    <w:p w14:paraId="0893B2DB" w14:textId="77777777" w:rsidR="00B21D54" w:rsidRPr="00BF2C75" w:rsidRDefault="00B21D54" w:rsidP="000D0960">
      <w:pPr>
        <w:rPr>
          <w:rFonts w:ascii="Baskerville" w:hAnsi="Baskerville"/>
        </w:rPr>
      </w:pPr>
    </w:p>
    <w:p w14:paraId="27EC5B12" w14:textId="63BA55F2" w:rsidR="008E0E35" w:rsidRPr="00B21D54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</w:t>
      </w:r>
      <w:r w:rsidR="00B21D54" w:rsidRPr="00B21D54">
        <w:rPr>
          <w:rFonts w:asciiTheme="majorHAnsi" w:hAnsiTheme="majorHAnsi" w:cstheme="majorHAnsi"/>
          <w:color w:val="000000" w:themeColor="text1"/>
        </w:rPr>
        <w:t>Diane Kane, President</w:t>
      </w:r>
    </w:p>
    <w:p w14:paraId="0A5D5F99" w14:textId="03BE645C" w:rsidR="00A41644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</w:t>
      </w:r>
      <w:r w:rsidR="00B21D54" w:rsidRPr="00B21D54">
        <w:rPr>
          <w:rFonts w:asciiTheme="majorHAnsi" w:hAnsiTheme="majorHAnsi" w:cstheme="majorHAnsi"/>
          <w:color w:val="000000" w:themeColor="text1"/>
        </w:rPr>
        <w:t>La Jolla Community Planning Association</w:t>
      </w:r>
    </w:p>
    <w:p w14:paraId="5005D77D" w14:textId="0B28AD25" w:rsidR="00C6494F" w:rsidRDefault="00C6494F">
      <w:pPr>
        <w:rPr>
          <w:rFonts w:asciiTheme="majorHAnsi" w:hAnsiTheme="majorHAnsi" w:cstheme="majorHAnsi"/>
          <w:color w:val="000000" w:themeColor="text1"/>
        </w:rPr>
      </w:pPr>
    </w:p>
    <w:p w14:paraId="4779F600" w14:textId="7C72A80D" w:rsidR="00C6494F" w:rsidRDefault="00813035" w:rsidP="00813035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</w:t>
      </w:r>
      <w:r w:rsidR="00C6494F">
        <w:rPr>
          <w:rFonts w:asciiTheme="majorHAnsi" w:hAnsiTheme="majorHAnsi" w:cstheme="majorHAnsi"/>
          <w:color w:val="000000" w:themeColor="text1"/>
        </w:rPr>
        <w:t xml:space="preserve">Attachment:  La Jolla Village Density </w:t>
      </w:r>
      <w:r>
        <w:rPr>
          <w:rFonts w:asciiTheme="majorHAnsi" w:hAnsiTheme="majorHAnsi" w:cstheme="majorHAnsi"/>
          <w:color w:val="000000" w:themeColor="text1"/>
        </w:rPr>
        <w:t>Analysis</w:t>
      </w:r>
    </w:p>
    <w:p w14:paraId="5010D0B4" w14:textId="77777777" w:rsidR="00C6494F" w:rsidRDefault="00C6494F">
      <w:pPr>
        <w:rPr>
          <w:rFonts w:asciiTheme="majorHAnsi" w:hAnsiTheme="majorHAnsi" w:cstheme="majorHAnsi"/>
          <w:color w:val="000000" w:themeColor="text1"/>
        </w:rPr>
      </w:pPr>
    </w:p>
    <w:p w14:paraId="32870E41" w14:textId="40D217FC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Cc:  Joe </w:t>
      </w:r>
      <w:proofErr w:type="spellStart"/>
      <w:r>
        <w:rPr>
          <w:rFonts w:asciiTheme="majorHAnsi" w:hAnsiTheme="majorHAnsi" w:cstheme="majorHAnsi"/>
          <w:color w:val="000000" w:themeColor="text1"/>
        </w:rPr>
        <w:t>LaCava</w:t>
      </w:r>
      <w:proofErr w:type="spellEnd"/>
      <w:r>
        <w:rPr>
          <w:rFonts w:asciiTheme="majorHAnsi" w:hAnsiTheme="majorHAnsi" w:cstheme="majorHAnsi"/>
          <w:color w:val="000000" w:themeColor="text1"/>
        </w:rPr>
        <w:t xml:space="preserve">, Council District 1, </w:t>
      </w:r>
      <w:hyperlink r:id="rId8" w:history="1">
        <w:r w:rsidRPr="00060EE4">
          <w:rPr>
            <w:rStyle w:val="Hyperlink"/>
            <w:rFonts w:asciiTheme="majorHAnsi" w:hAnsiTheme="majorHAnsi" w:cstheme="majorHAnsi"/>
          </w:rPr>
          <w:t>joelacava@sandiego.gov</w:t>
        </w:r>
      </w:hyperlink>
    </w:p>
    <w:p w14:paraId="0FB6238D" w14:textId="5A430A93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Jennifer Campbell, Council District 2, </w:t>
      </w:r>
      <w:hyperlink r:id="rId9" w:history="1">
        <w:r w:rsidRPr="00060EE4">
          <w:rPr>
            <w:rStyle w:val="Hyperlink"/>
            <w:rFonts w:asciiTheme="majorHAnsi" w:hAnsiTheme="majorHAnsi" w:cstheme="majorHAnsi"/>
          </w:rPr>
          <w:t>jennifercampbell@sandiego.gov</w:t>
        </w:r>
      </w:hyperlink>
    </w:p>
    <w:p w14:paraId="1F707DEC" w14:textId="370FBA66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Stephen Whitburn, Council District 3, </w:t>
      </w:r>
      <w:hyperlink r:id="rId10" w:history="1">
        <w:r w:rsidRPr="00060EE4">
          <w:rPr>
            <w:rStyle w:val="Hyperlink"/>
            <w:rFonts w:asciiTheme="majorHAnsi" w:hAnsiTheme="majorHAnsi" w:cstheme="majorHAnsi"/>
          </w:rPr>
          <w:t>stephenwhitburn@sandiego.gov</w:t>
        </w:r>
      </w:hyperlink>
    </w:p>
    <w:p w14:paraId="49A93912" w14:textId="3D5EB6A0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Monica Montgomery Steppe, Council District 4, </w:t>
      </w:r>
      <w:hyperlink r:id="rId11" w:history="1">
        <w:r w:rsidRPr="00060EE4">
          <w:rPr>
            <w:rStyle w:val="Hyperlink"/>
            <w:rFonts w:asciiTheme="majorHAnsi" w:hAnsiTheme="majorHAnsi" w:cstheme="majorHAnsi"/>
          </w:rPr>
          <w:t>mmontgomerysteppe@sandiego.gov</w:t>
        </w:r>
      </w:hyperlink>
    </w:p>
    <w:p w14:paraId="741CCF4D" w14:textId="59887A23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Marni von </w:t>
      </w:r>
      <w:proofErr w:type="spellStart"/>
      <w:r>
        <w:rPr>
          <w:rFonts w:asciiTheme="majorHAnsi" w:hAnsiTheme="majorHAnsi" w:cstheme="majorHAnsi"/>
          <w:color w:val="000000" w:themeColor="text1"/>
        </w:rPr>
        <w:t>Wilpert</w:t>
      </w:r>
      <w:proofErr w:type="spellEnd"/>
      <w:r>
        <w:rPr>
          <w:rFonts w:asciiTheme="majorHAnsi" w:hAnsiTheme="majorHAnsi" w:cstheme="majorHAnsi"/>
          <w:color w:val="000000" w:themeColor="text1"/>
        </w:rPr>
        <w:t xml:space="preserve">, Council District 5, </w:t>
      </w:r>
      <w:hyperlink r:id="rId12" w:history="1">
        <w:r w:rsidRPr="00060EE4">
          <w:rPr>
            <w:rStyle w:val="Hyperlink"/>
            <w:rFonts w:asciiTheme="majorHAnsi" w:hAnsiTheme="majorHAnsi" w:cstheme="majorHAnsi"/>
          </w:rPr>
          <w:t>marnivonwilpert@sandiego.gov</w:t>
        </w:r>
      </w:hyperlink>
    </w:p>
    <w:p w14:paraId="5B4B7E02" w14:textId="29FE4108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Chris Cate, Council District 6, </w:t>
      </w:r>
      <w:hyperlink r:id="rId13" w:history="1">
        <w:r w:rsidRPr="00060EE4">
          <w:rPr>
            <w:rStyle w:val="Hyperlink"/>
            <w:rFonts w:asciiTheme="majorHAnsi" w:hAnsiTheme="majorHAnsi" w:cstheme="majorHAnsi"/>
          </w:rPr>
          <w:t>chriscate@sandiego.gov</w:t>
        </w:r>
      </w:hyperlink>
    </w:p>
    <w:p w14:paraId="71D812DD" w14:textId="35041471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Raul </w:t>
      </w:r>
      <w:proofErr w:type="spellStart"/>
      <w:r>
        <w:rPr>
          <w:rFonts w:asciiTheme="majorHAnsi" w:hAnsiTheme="majorHAnsi" w:cstheme="majorHAnsi"/>
          <w:color w:val="000000" w:themeColor="text1"/>
        </w:rPr>
        <w:t>Campillo</w:t>
      </w:r>
      <w:proofErr w:type="spellEnd"/>
      <w:r>
        <w:rPr>
          <w:rFonts w:asciiTheme="majorHAnsi" w:hAnsiTheme="majorHAnsi" w:cstheme="majorHAnsi"/>
          <w:color w:val="000000" w:themeColor="text1"/>
        </w:rPr>
        <w:t xml:space="preserve">, Council District 7, </w:t>
      </w:r>
      <w:hyperlink r:id="rId14" w:history="1">
        <w:r w:rsidRPr="00060EE4">
          <w:rPr>
            <w:rStyle w:val="Hyperlink"/>
            <w:rFonts w:asciiTheme="majorHAnsi" w:hAnsiTheme="majorHAnsi" w:cstheme="majorHAnsi"/>
          </w:rPr>
          <w:t>raulcampillo@sandiego.gov</w:t>
        </w:r>
      </w:hyperlink>
    </w:p>
    <w:p w14:paraId="64AF953B" w14:textId="1B8A5AF4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Vivian Moreno, Council District 8, </w:t>
      </w:r>
      <w:hyperlink r:id="rId15" w:history="1">
        <w:r w:rsidRPr="00060EE4">
          <w:rPr>
            <w:rStyle w:val="Hyperlink"/>
            <w:rFonts w:asciiTheme="majorHAnsi" w:hAnsiTheme="majorHAnsi" w:cstheme="majorHAnsi"/>
          </w:rPr>
          <w:t>VivianMoreno@sandiego.gov</w:t>
        </w:r>
      </w:hyperlink>
    </w:p>
    <w:p w14:paraId="29896E84" w14:textId="1D9E93FB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 Sean Elo-Rivera, Council District 9, </w:t>
      </w:r>
      <w:hyperlink r:id="rId16" w:history="1">
        <w:r w:rsidRPr="00060EE4">
          <w:rPr>
            <w:rStyle w:val="Hyperlink"/>
            <w:rFonts w:asciiTheme="majorHAnsi" w:hAnsiTheme="majorHAnsi" w:cstheme="majorHAnsi"/>
          </w:rPr>
          <w:t>seanelorivera@sandiego.gov</w:t>
        </w:r>
      </w:hyperlink>
    </w:p>
    <w:p w14:paraId="11D36EC3" w14:textId="77777777" w:rsidR="00C6494F" w:rsidRDefault="00C6494F">
      <w:pPr>
        <w:rPr>
          <w:rFonts w:asciiTheme="majorHAnsi" w:hAnsiTheme="majorHAnsi" w:cstheme="majorHAnsi"/>
          <w:color w:val="000000" w:themeColor="text1"/>
        </w:rPr>
      </w:pPr>
    </w:p>
    <w:p w14:paraId="0948D1F9" w14:textId="5CBC34E2" w:rsidR="00C6494F" w:rsidRDefault="00C6494F">
      <w:pPr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      </w:t>
      </w:r>
    </w:p>
    <w:p w14:paraId="363DC99F" w14:textId="0A6B9AE0" w:rsidR="00A41644" w:rsidRDefault="00A41644">
      <w:pPr>
        <w:rPr>
          <w:rFonts w:asciiTheme="majorHAnsi" w:hAnsiTheme="majorHAnsi" w:cstheme="majorHAnsi"/>
          <w:color w:val="000000" w:themeColor="text1"/>
        </w:rPr>
      </w:pPr>
    </w:p>
    <w:p w14:paraId="0178E5BC" w14:textId="77777777" w:rsidR="00C6494F" w:rsidRDefault="00C6494F">
      <w:pPr>
        <w:rPr>
          <w:rFonts w:asciiTheme="majorHAnsi" w:hAnsiTheme="majorHAnsi" w:cstheme="majorHAnsi"/>
          <w:color w:val="000000" w:themeColor="text1"/>
        </w:rPr>
        <w:sectPr w:rsidR="00C6494F" w:rsidSect="00C6494F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2240" w:h="15840"/>
          <w:pgMar w:top="1440" w:right="1080" w:bottom="1080" w:left="1080" w:header="720" w:footer="720" w:gutter="0"/>
          <w:cols w:space="720"/>
          <w:titlePg/>
          <w:docGrid w:linePitch="360"/>
        </w:sectPr>
      </w:pPr>
    </w:p>
    <w:p w14:paraId="1CD18306" w14:textId="5E726659" w:rsidR="00A41644" w:rsidRDefault="00A41644">
      <w:pPr>
        <w:rPr>
          <w:rFonts w:asciiTheme="majorHAnsi" w:hAnsiTheme="majorHAnsi" w:cstheme="majorHAnsi"/>
          <w:color w:val="000000" w:themeColor="text1"/>
        </w:rPr>
      </w:pPr>
    </w:p>
    <w:p w14:paraId="02DD6259" w14:textId="2BF94141" w:rsidR="00A41644" w:rsidRDefault="00216C70">
      <w:pPr>
        <w:rPr>
          <w:rFonts w:asciiTheme="majorHAnsi" w:hAnsiTheme="majorHAnsi" w:cstheme="majorHAnsi"/>
          <w:color w:val="000000" w:themeColor="text1"/>
        </w:rPr>
      </w:pPr>
      <w:r w:rsidRPr="00216C70">
        <w:rPr>
          <w:rFonts w:asciiTheme="majorHAnsi" w:hAnsiTheme="majorHAnsi" w:cstheme="majorHAnsi"/>
          <w:color w:val="000000" w:themeColor="text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AEFA46" wp14:editId="4C1789E5">
                <wp:simplePos x="0" y="0"/>
                <wp:positionH relativeFrom="column">
                  <wp:posOffset>-85544</wp:posOffset>
                </wp:positionH>
                <wp:positionV relativeFrom="paragraph">
                  <wp:posOffset>737689</wp:posOffset>
                </wp:positionV>
                <wp:extent cx="575035" cy="370002"/>
                <wp:effectExtent l="0" t="0" r="9525" b="11430"/>
                <wp:wrapNone/>
                <wp:docPr id="9" name="Rectangle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48F1FE1-4DDA-0F42-9E1E-F66F7FD422A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035" cy="370002"/>
                        </a:xfrm>
                        <a:prstGeom prst="rect">
                          <a:avLst/>
                        </a:prstGeom>
                        <a:solidFill>
                          <a:schemeClr val="accent4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6AFF772" id="Rectangle 8" o:spid="_x0000_s1026" style="position:absolute;margin-left:-6.75pt;margin-top:58.1pt;width:45.3pt;height:29.1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" fillcolor="#ffc000 [3207]" strokecolor="#ffc000" strokeweight="1pt"/>
            </w:pict>
          </mc:Fallback>
        </mc:AlternateContent>
      </w:r>
      <w:r w:rsidRPr="00216C70">
        <w:rPr>
          <w:rFonts w:asciiTheme="majorHAnsi" w:hAnsiTheme="majorHAnsi" w:cstheme="majorHAnsi"/>
          <w:color w:val="000000" w:themeColor="text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4F18C7" wp14:editId="22E542DE">
                <wp:simplePos x="0" y="0"/>
                <wp:positionH relativeFrom="column">
                  <wp:posOffset>-85544</wp:posOffset>
                </wp:positionH>
                <wp:positionV relativeFrom="paragraph">
                  <wp:posOffset>252458</wp:posOffset>
                </wp:positionV>
                <wp:extent cx="532615" cy="370001"/>
                <wp:effectExtent l="0" t="0" r="13970" b="11430"/>
                <wp:wrapNone/>
                <wp:docPr id="12" name="Rectangle 7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615" cy="370001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D40C83F" id="Rectangle 7" o:spid="_x0000_s1026" style="position:absolute;margin-left:-6.75pt;margin-top:19.9pt;width:41.95pt;height:29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" fillcolor="#7030a0" strokecolor="#7030a0" strokeweight="1pt"/>
            </w:pict>
          </mc:Fallback>
        </mc:AlternateContent>
      </w:r>
      <w:r w:rsidRPr="00216C70">
        <w:rPr>
          <w:rFonts w:asciiTheme="majorHAnsi" w:hAnsiTheme="majorHAnsi" w:cstheme="majorHAnsi"/>
          <w:color w:val="000000" w:themeColor="text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49D334" wp14:editId="44F549E6">
                <wp:simplePos x="0" y="0"/>
                <wp:positionH relativeFrom="column">
                  <wp:posOffset>-322217</wp:posOffset>
                </wp:positionH>
                <wp:positionV relativeFrom="paragraph">
                  <wp:posOffset>148046</wp:posOffset>
                </wp:positionV>
                <wp:extent cx="3702809" cy="1077218"/>
                <wp:effectExtent l="0" t="0" r="7620" b="15240"/>
                <wp:wrapNone/>
                <wp:docPr id="11" name="TextBox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2809" cy="107721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70DB0C" w14:textId="77777777" w:rsidR="00216C70" w:rsidRDefault="00216C70" w:rsidP="00216C70">
                            <w:r>
                              <w:rPr>
                                <w:rFonts w:hAnsi="Calibri"/>
                                <w:color w:val="000000" w:themeColor="dark1"/>
                                <w:kern w:val="24"/>
                                <w:sz w:val="64"/>
                                <w:szCs w:val="64"/>
                              </w:rPr>
                              <w:t xml:space="preserve">        1 Story Buildings</w:t>
                            </w:r>
                          </w:p>
                          <w:p w14:paraId="1F9048FB" w14:textId="77777777" w:rsidR="00216C70" w:rsidRDefault="00216C70" w:rsidP="00216C70">
                            <w:r>
                              <w:rPr>
                                <w:rFonts w:hAnsi="Calibri"/>
                                <w:color w:val="000000" w:themeColor="dark1"/>
                                <w:kern w:val="24"/>
                                <w:sz w:val="64"/>
                                <w:szCs w:val="64"/>
                              </w:rPr>
                              <w:t xml:space="preserve">         Parking Lot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49D334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-25.35pt;margin-top:11.65pt;width:291.55pt;height:84.8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" fillcolor="white [3201]" strokecolor="black [3200]" strokeweight="1pt">
                <v:textbox style="mso-fit-shape-to-text:t">
                  <w:txbxContent>
                    <w:p w14:paraId="5770DB0C" w14:textId="77777777" w:rsidR="00216C70" w:rsidRDefault="00216C70" w:rsidP="00216C70">
                      <w:r>
                        <w:rPr>
                          <w:rFonts w:hAnsi="Calibri"/>
                          <w:color w:val="000000" w:themeColor="dark1"/>
                          <w:kern w:val="24"/>
                          <w:sz w:val="64"/>
                          <w:szCs w:val="64"/>
                        </w:rPr>
                        <w:t xml:space="preserve">        1 Story Buildings</w:t>
                      </w:r>
                    </w:p>
                    <w:p w14:paraId="1F9048FB" w14:textId="77777777" w:rsidR="00216C70" w:rsidRDefault="00216C70" w:rsidP="00216C70">
                      <w:r>
                        <w:rPr>
                          <w:rFonts w:hAnsi="Calibri"/>
                          <w:color w:val="000000" w:themeColor="dark1"/>
                          <w:kern w:val="24"/>
                          <w:sz w:val="64"/>
                          <w:szCs w:val="64"/>
                        </w:rPr>
                        <w:t xml:space="preserve">         Parking Lot</w:t>
                      </w:r>
                    </w:p>
                  </w:txbxContent>
                </v:textbox>
              </v:shape>
            </w:pict>
          </mc:Fallback>
        </mc:AlternateContent>
      </w:r>
      <w:r w:rsidRPr="00216C70">
        <w:rPr>
          <w:rFonts w:asciiTheme="majorHAnsi" w:hAnsiTheme="majorHAnsi" w:cstheme="majorHAnsi"/>
          <w:color w:val="000000" w:themeColor="text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750322" wp14:editId="567A8AD2">
                <wp:simplePos x="0" y="0"/>
                <wp:positionH relativeFrom="column">
                  <wp:posOffset>-317486</wp:posOffset>
                </wp:positionH>
                <wp:positionV relativeFrom="paragraph">
                  <wp:posOffset>6908780</wp:posOffset>
                </wp:positionV>
                <wp:extent cx="4111895" cy="461665"/>
                <wp:effectExtent l="0" t="0" r="7620" b="8255"/>
                <wp:wrapNone/>
                <wp:docPr id="10" name="TextBox 1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1895" cy="46166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87AE68" w14:textId="5243D34D" w:rsidR="00216C70" w:rsidRDefault="00216C70" w:rsidP="00216C70">
                            <w:r>
                              <w:rPr>
                                <w:rFonts w:hAnsi="Calibri"/>
                                <w:color w:val="000000" w:themeColor="dark1"/>
                                <w:kern w:val="24"/>
                                <w:sz w:val="48"/>
                                <w:szCs w:val="48"/>
                              </w:rPr>
                              <w:t>La Jolla Village Density Analysis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50322" id="TextBox 15" o:spid="_x0000_s1027" type="#_x0000_t202" style="position:absolute;margin-left:-25pt;margin-top:544pt;width:323.75pt;height:36.35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" fillcolor="white [3201]" strokecolor="black [3200]" strokeweight="1pt">
                <v:textbox style="mso-fit-shape-to-text:t">
                  <w:txbxContent>
                    <w:p w14:paraId="0487AE68" w14:textId="5243D34D" w:rsidR="00216C70" w:rsidRDefault="00216C70" w:rsidP="00216C70">
                      <w:r>
                        <w:rPr>
                          <w:rFonts w:hAnsi="Calibri"/>
                          <w:color w:val="000000" w:themeColor="dark1"/>
                          <w:kern w:val="24"/>
                          <w:sz w:val="48"/>
                          <w:szCs w:val="48"/>
                        </w:rPr>
                        <w:t>La Jolla Village Density Analysis</w:t>
                      </w:r>
                    </w:p>
                  </w:txbxContent>
                </v:textbox>
              </v:shape>
            </w:pict>
          </mc:Fallback>
        </mc:AlternateContent>
      </w:r>
      <w:r w:rsidRPr="00216C70">
        <w:rPr>
          <w:rFonts w:asciiTheme="majorHAnsi" w:hAnsiTheme="majorHAnsi" w:cstheme="majorHAnsi"/>
          <w:color w:val="000000" w:themeColor="text1"/>
        </w:rPr>
        <w:drawing>
          <wp:inline distT="0" distB="0" distL="0" distR="0" wp14:anchorId="7BBEB5F4" wp14:editId="62B0636B">
            <wp:extent cx="6080760" cy="7562088"/>
            <wp:effectExtent l="0" t="0" r="2540" b="0"/>
            <wp:docPr id="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F9515DCC-666C-B447-8CD5-F7E1B06A87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F9515DCC-666C-B447-8CD5-F7E1B06A87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8986" b="10579"/>
                    <a:stretch/>
                  </pic:blipFill>
                  <pic:spPr>
                    <a:xfrm>
                      <a:off x="0" y="0"/>
                      <a:ext cx="608076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E46F" w14:textId="70A193F7" w:rsidR="00A41644" w:rsidRDefault="00A41644">
      <w:pPr>
        <w:rPr>
          <w:rFonts w:asciiTheme="majorHAnsi" w:hAnsiTheme="majorHAnsi" w:cstheme="majorHAnsi"/>
          <w:color w:val="000000" w:themeColor="text1"/>
        </w:rPr>
      </w:pPr>
    </w:p>
    <w:p w14:paraId="52FD8C1E" w14:textId="177ECE76" w:rsidR="00BF7DB8" w:rsidRPr="00B21D54" w:rsidRDefault="00A41644">
      <w:pPr>
        <w:rPr>
          <w:rFonts w:asciiTheme="majorHAnsi" w:hAnsiTheme="majorHAnsi" w:cstheme="majorHAnsi"/>
          <w:color w:val="000000" w:themeColor="text1"/>
        </w:rPr>
      </w:pPr>
      <w:r w:rsidRPr="00A41644">
        <w:rPr>
          <w:rFonts w:asciiTheme="majorHAnsi" w:hAnsiTheme="majorHAnsi" w:cstheme="majorHAns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C33711" wp14:editId="0FC965B0">
                <wp:simplePos x="0" y="0"/>
                <wp:positionH relativeFrom="column">
                  <wp:posOffset>-84909</wp:posOffset>
                </wp:positionH>
                <wp:positionV relativeFrom="paragraph">
                  <wp:posOffset>5222875</wp:posOffset>
                </wp:positionV>
                <wp:extent cx="4111895" cy="461665"/>
                <wp:effectExtent l="0" t="0" r="7620" b="8255"/>
                <wp:wrapNone/>
                <wp:docPr id="16" name="TextBox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8FDD813-D41F-1844-A41F-B1DFEC90843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1895" cy="46166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C1718" w14:textId="4F3296A7" w:rsidR="00A41644" w:rsidRDefault="00A41644" w:rsidP="00A41644">
                            <w:r>
                              <w:rPr>
                                <w:rFonts w:hAnsi="Calibri"/>
                                <w:color w:val="000000" w:themeColor="dark1"/>
                                <w:kern w:val="24"/>
                                <w:sz w:val="48"/>
                                <w:szCs w:val="48"/>
                              </w:rPr>
                              <w:t>Village of La Jolla</w:t>
                            </w:r>
                            <w:r w:rsidR="00813035">
                              <w:rPr>
                                <w:rFonts w:hAnsi="Calibri"/>
                                <w:color w:val="000000" w:themeColor="dark1"/>
                                <w:kern w:val="24"/>
                                <w:sz w:val="48"/>
                                <w:szCs w:val="48"/>
                              </w:rPr>
                              <w:t xml:space="preserve"> Density Analysis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33711" id="TextBox 15" o:spid="_x0000_s1027" type="#_x0000_t202" style="position:absolute;margin-left:-6.7pt;margin-top:411.25pt;width:323.75pt;height:36.3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" fillcolor="white [3201]" strokecolor="black [3200]" strokeweight="1pt">
                <v:textbox style="mso-fit-shape-to-text:t">
                  <w:txbxContent>
                    <w:p w14:paraId="552C1718" w14:textId="4F3296A7" w:rsidR="00A41644" w:rsidRDefault="00A41644" w:rsidP="00A41644">
                      <w:r>
                        <w:rPr>
                          <w:rFonts w:hAnsi="Calibri"/>
                          <w:color w:val="000000" w:themeColor="dark1"/>
                          <w:kern w:val="24"/>
                          <w:sz w:val="48"/>
                          <w:szCs w:val="48"/>
                        </w:rPr>
                        <w:t>Village of La Jolla</w:t>
                      </w:r>
                      <w:r w:rsidR="00813035">
                        <w:rPr>
                          <w:rFonts w:hAnsi="Calibri"/>
                          <w:color w:val="000000" w:themeColor="dark1"/>
                          <w:kern w:val="24"/>
                          <w:sz w:val="48"/>
                          <w:szCs w:val="48"/>
                        </w:rPr>
                        <w:t xml:space="preserve"> Density Analysis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F7DB8" w:rsidRPr="00B21D54" w:rsidSect="009F54B6">
      <w:pgSz w:w="12240" w:h="15840"/>
      <w:pgMar w:top="144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0C2BC4" w14:textId="77777777" w:rsidR="003E0663" w:rsidRDefault="003E0663" w:rsidP="00C6494F">
      <w:r>
        <w:separator/>
      </w:r>
    </w:p>
  </w:endnote>
  <w:endnote w:type="continuationSeparator" w:id="0">
    <w:p w14:paraId="2AAEDE15" w14:textId="77777777" w:rsidR="003E0663" w:rsidRDefault="003E0663" w:rsidP="00C649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skerville">
    <w:panose1 w:val="02020502070401020303"/>
    <w:charset w:val="00"/>
    <w:family w:val="roman"/>
    <w:pitch w:val="variable"/>
    <w:sig w:usb0="80000067" w:usb1="02000000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77081049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82E5027" w14:textId="345A5C47" w:rsidR="00C6494F" w:rsidRDefault="00C6494F" w:rsidP="00060E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A6AA450" w14:textId="77777777" w:rsidR="00C6494F" w:rsidRDefault="00C6494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66205190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9A941B3" w14:textId="3F45E36D" w:rsidR="00C6494F" w:rsidRDefault="00C6494F" w:rsidP="00060E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3A73DB1A" w14:textId="77777777" w:rsidR="00C6494F" w:rsidRDefault="00C6494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C23A85" w14:textId="77777777" w:rsidR="0096238F" w:rsidRDefault="0096238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2356625" w14:textId="77777777" w:rsidR="003E0663" w:rsidRDefault="003E0663" w:rsidP="00C6494F">
      <w:r>
        <w:separator/>
      </w:r>
    </w:p>
  </w:footnote>
  <w:footnote w:type="continuationSeparator" w:id="0">
    <w:p w14:paraId="5416172A" w14:textId="77777777" w:rsidR="003E0663" w:rsidRDefault="003E0663" w:rsidP="00C6494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13864" w14:textId="0AC3D12B" w:rsidR="0096238F" w:rsidRDefault="003E0663">
    <w:pPr>
      <w:pStyle w:val="Header"/>
    </w:pPr>
    <w:r>
      <w:rPr>
        <w:noProof/>
      </w:rPr>
      <w:pict w14:anchorId="153C048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1" type="#_x0000_t136" alt="" style="position:absolute;margin-left:0;margin-top:0;width:532.95pt;height:177.65pt;rotation:315;z-index:-251651072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textpath style="font-family:&quot;Calibri&quot;;font-size:1pt" string="DRAF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8025E5" w14:textId="083326B1" w:rsidR="0096238F" w:rsidRDefault="003E0663">
    <w:pPr>
      <w:pStyle w:val="Header"/>
    </w:pPr>
    <w:r>
      <w:rPr>
        <w:noProof/>
      </w:rPr>
      <w:pict w14:anchorId="2D5FFBB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0" type="#_x0000_t136" alt="" style="position:absolute;margin-left:0;margin-top:0;width:532.95pt;height:177.65pt;rotation:315;z-index:-251646976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textpath style="font-family:&quot;Calibri&quot;;font-size:1pt" string="DRAFT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C8B8DB" w14:textId="0CFCAB63" w:rsidR="0096238F" w:rsidRDefault="003E0663">
    <w:pPr>
      <w:pStyle w:val="Header"/>
    </w:pPr>
    <w:r>
      <w:rPr>
        <w:noProof/>
      </w:rPr>
      <w:pict w14:anchorId="5447B52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" o:spid="_x0000_s2049" type="#_x0000_t136" alt="" style="position:absolute;margin-left:0;margin-top:0;width:532.95pt;height:177.65pt;rotation:315;z-index:-251655168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textpath style="font-family:&quot;Calibri&quot;;font-size:1pt" string="DRAF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7" type="#_x0000_t75" style="width:43pt;height:30pt;visibility:visible;mso-wrap-style:square" o:bullet="t">
        <v:imagedata r:id="rId1" o:title=""/>
      </v:shape>
    </w:pict>
  </w:numPicBullet>
  <w:abstractNum w:abstractNumId="0" w15:restartNumberingAfterBreak="0">
    <w:nsid w:val="18175CD9"/>
    <w:multiLevelType w:val="hybridMultilevel"/>
    <w:tmpl w:val="5E6267DC"/>
    <w:lvl w:ilvl="0" w:tplc="FA4CC87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40C3E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9CCC7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4B8E82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40A4C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9007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4CA0A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C43A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EE4C1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54A63B93"/>
    <w:multiLevelType w:val="hybridMultilevel"/>
    <w:tmpl w:val="87A43C74"/>
    <w:lvl w:ilvl="0" w:tplc="0270E61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6"/>
  <w:proofState w:spelling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0D4"/>
    <w:rsid w:val="000D0960"/>
    <w:rsid w:val="00216C70"/>
    <w:rsid w:val="0027031B"/>
    <w:rsid w:val="00274182"/>
    <w:rsid w:val="00293AA3"/>
    <w:rsid w:val="003C0727"/>
    <w:rsid w:val="003E0663"/>
    <w:rsid w:val="00456214"/>
    <w:rsid w:val="004E472B"/>
    <w:rsid w:val="004F4106"/>
    <w:rsid w:val="0065536E"/>
    <w:rsid w:val="00710C4B"/>
    <w:rsid w:val="00737241"/>
    <w:rsid w:val="00783975"/>
    <w:rsid w:val="007B3F1A"/>
    <w:rsid w:val="007C5999"/>
    <w:rsid w:val="00813035"/>
    <w:rsid w:val="008131A5"/>
    <w:rsid w:val="00841B8A"/>
    <w:rsid w:val="00883867"/>
    <w:rsid w:val="008E0E35"/>
    <w:rsid w:val="0096238F"/>
    <w:rsid w:val="009F54B6"/>
    <w:rsid w:val="00A41644"/>
    <w:rsid w:val="00B06E55"/>
    <w:rsid w:val="00B21D54"/>
    <w:rsid w:val="00BD25D9"/>
    <w:rsid w:val="00BF2C75"/>
    <w:rsid w:val="00BF7DB8"/>
    <w:rsid w:val="00C27A67"/>
    <w:rsid w:val="00C6494F"/>
    <w:rsid w:val="00D231FB"/>
    <w:rsid w:val="00DC1B3F"/>
    <w:rsid w:val="00DC6FB2"/>
    <w:rsid w:val="00DC7BE3"/>
    <w:rsid w:val="00DF77F8"/>
    <w:rsid w:val="00E030D4"/>
    <w:rsid w:val="00E60801"/>
    <w:rsid w:val="00F142E5"/>
    <w:rsid w:val="00FC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8FE2E2A"/>
  <w15:chartTrackingRefBased/>
  <w15:docId w15:val="{94E7B72F-6BA8-E54F-A13F-F28127B7BD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231F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231F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231F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37241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6494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494F"/>
  </w:style>
  <w:style w:type="character" w:styleId="PageNumber">
    <w:name w:val="page number"/>
    <w:basedOn w:val="DefaultParagraphFont"/>
    <w:uiPriority w:val="99"/>
    <w:semiHidden/>
    <w:unhideWhenUsed/>
    <w:rsid w:val="00C6494F"/>
  </w:style>
  <w:style w:type="paragraph" w:styleId="Header">
    <w:name w:val="header"/>
    <w:basedOn w:val="Normal"/>
    <w:link w:val="HeaderChar"/>
    <w:uiPriority w:val="99"/>
    <w:unhideWhenUsed/>
    <w:rsid w:val="0096238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23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110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0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55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5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0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98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933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oelacava@sandiego.gov" TargetMode="External"/><Relationship Id="rId13" Type="http://schemas.openxmlformats.org/officeDocument/2006/relationships/hyperlink" Target="mailto:chriscate@sandiego.gov" TargetMode="External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hyperlink" Target="mailto:marnivonwilpert@sandiego.gov" TargetMode="External"/><Relationship Id="rId17" Type="http://schemas.openxmlformats.org/officeDocument/2006/relationships/header" Target="header1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mailto:seanelorivera@sandiego.gov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mmontgomerysteppe@sandiego.gov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mailto:VivianMoreno@sandiego.gov" TargetMode="External"/><Relationship Id="rId23" Type="http://schemas.openxmlformats.org/officeDocument/2006/relationships/image" Target="media/image2.emf"/><Relationship Id="rId10" Type="http://schemas.openxmlformats.org/officeDocument/2006/relationships/hyperlink" Target="mailto:stephenwhitburn@sandiego.gov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jennifercampbell@sandiego.gov" TargetMode="External"/><Relationship Id="rId14" Type="http://schemas.openxmlformats.org/officeDocument/2006/relationships/hyperlink" Target="mailto:raulcampillo@sandiego.gov" TargetMode="External"/><Relationship Id="rId22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15DA10E-BD16-0243-BBCC-63AC8BE6F1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656</Words>
  <Characters>3742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Krcelich, Marlena S</dc:creator>
  <cp:keywords/>
  <dc:description/>
  <cp:lastModifiedBy>John Kane</cp:lastModifiedBy>
  <cp:revision>4</cp:revision>
  <cp:lastPrinted>2022-03-22T21:08:00Z</cp:lastPrinted>
  <dcterms:created xsi:type="dcterms:W3CDTF">2022-03-22T23:52:00Z</dcterms:created>
  <dcterms:modified xsi:type="dcterms:W3CDTF">2022-03-23T00:00:00Z</dcterms:modified>
</cp:coreProperties>
</file>